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A115CD" w14:textId="36CC366C" w:rsidR="00523253" w:rsidRDefault="00523253" w:rsidP="00523253">
      <w:pPr>
        <w:jc w:val="center"/>
        <w:rPr>
          <w:b/>
          <w:sz w:val="28"/>
          <w:szCs w:val="28"/>
        </w:rPr>
      </w:pPr>
      <w:r>
        <w:rPr>
          <w:noProof/>
          <w:lang w:eastAsia="en-AU"/>
        </w:rPr>
        <w:drawing>
          <wp:inline distT="0" distB="0" distL="0" distR="0" wp14:anchorId="4102CEE5" wp14:editId="23C7EC21">
            <wp:extent cx="3539490" cy="1250983"/>
            <wp:effectExtent l="0" t="0" r="381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ckenzie Research Institute Logo - CYM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30139" cy="1353709"/>
                    </a:xfrm>
                    <a:prstGeom prst="rect">
                      <a:avLst/>
                    </a:prstGeom>
                  </pic:spPr>
                </pic:pic>
              </a:graphicData>
            </a:graphic>
          </wp:inline>
        </w:drawing>
      </w:r>
    </w:p>
    <w:p w14:paraId="42CE2E24" w14:textId="77777777" w:rsidR="00523253" w:rsidRDefault="00523253" w:rsidP="00523253">
      <w:pPr>
        <w:jc w:val="center"/>
        <w:rPr>
          <w:b/>
          <w:sz w:val="28"/>
          <w:szCs w:val="28"/>
        </w:rPr>
      </w:pPr>
    </w:p>
    <w:p w14:paraId="7ACCFEA8" w14:textId="77777777" w:rsidR="00523253" w:rsidRDefault="00523253" w:rsidP="00523253">
      <w:pPr>
        <w:rPr>
          <w:b/>
          <w:sz w:val="28"/>
          <w:szCs w:val="28"/>
        </w:rPr>
      </w:pPr>
    </w:p>
    <w:p w14:paraId="25525C3C" w14:textId="77777777" w:rsidR="00523253" w:rsidRDefault="00523253" w:rsidP="00523253">
      <w:pPr>
        <w:rPr>
          <w:b/>
          <w:sz w:val="28"/>
          <w:szCs w:val="28"/>
        </w:rPr>
      </w:pPr>
    </w:p>
    <w:p w14:paraId="63A91E2B" w14:textId="77777777" w:rsidR="00523253" w:rsidRPr="00281954" w:rsidRDefault="00F2668B" w:rsidP="00523253">
      <w:pPr>
        <w:jc w:val="center"/>
        <w:rPr>
          <w:rFonts w:cs="Poppins"/>
          <w:b/>
          <w:color w:val="1F497D" w:themeColor="text2"/>
          <w:sz w:val="60"/>
          <w:szCs w:val="56"/>
        </w:rPr>
      </w:pPr>
      <w:r>
        <w:rPr>
          <w:rFonts w:cs="Poppins"/>
          <w:b/>
          <w:color w:val="1F497D" w:themeColor="text2"/>
          <w:sz w:val="60"/>
          <w:szCs w:val="56"/>
        </w:rPr>
        <w:t>SKILLS FOR VICTORIA’S</w:t>
      </w:r>
    </w:p>
    <w:p w14:paraId="69F7568C" w14:textId="77777777" w:rsidR="00523253" w:rsidRPr="00281954" w:rsidRDefault="00F2668B" w:rsidP="00523253">
      <w:pPr>
        <w:jc w:val="center"/>
        <w:rPr>
          <w:b/>
          <w:color w:val="1F497D" w:themeColor="text2"/>
          <w:sz w:val="60"/>
          <w:szCs w:val="56"/>
        </w:rPr>
      </w:pPr>
      <w:r w:rsidRPr="00281954">
        <w:rPr>
          <w:rFonts w:cs="Poppins"/>
          <w:b/>
          <w:color w:val="1F497D" w:themeColor="text2"/>
          <w:sz w:val="60"/>
          <w:szCs w:val="56"/>
        </w:rPr>
        <w:t>GROWING ECONOMY</w:t>
      </w:r>
    </w:p>
    <w:p w14:paraId="50C02D86" w14:textId="77777777" w:rsidR="00523253" w:rsidRPr="00281954" w:rsidRDefault="00F2668B" w:rsidP="00523253">
      <w:pPr>
        <w:jc w:val="center"/>
        <w:rPr>
          <w:b/>
          <w:color w:val="1F497D" w:themeColor="text2"/>
          <w:sz w:val="60"/>
          <w:szCs w:val="56"/>
        </w:rPr>
      </w:pPr>
      <w:r w:rsidRPr="00281954">
        <w:rPr>
          <w:b/>
          <w:color w:val="1F497D" w:themeColor="text2"/>
          <w:sz w:val="60"/>
          <w:szCs w:val="56"/>
        </w:rPr>
        <w:t>SUBMISSION</w:t>
      </w:r>
    </w:p>
    <w:p w14:paraId="62CA99C2" w14:textId="5F24DAD8" w:rsidR="00523253" w:rsidRDefault="005646C5" w:rsidP="005646C5">
      <w:pPr>
        <w:jc w:val="center"/>
        <w:rPr>
          <w:b/>
          <w:sz w:val="28"/>
          <w:szCs w:val="28"/>
        </w:rPr>
      </w:pPr>
      <w:r>
        <w:rPr>
          <w:b/>
          <w:color w:val="1F497D" w:themeColor="text2"/>
          <w:sz w:val="60"/>
          <w:szCs w:val="56"/>
        </w:rPr>
        <w:t>PART 1</w:t>
      </w:r>
    </w:p>
    <w:p w14:paraId="1179A5CF" w14:textId="77777777" w:rsidR="00523253" w:rsidRDefault="00523253" w:rsidP="00523253">
      <w:pPr>
        <w:rPr>
          <w:b/>
          <w:sz w:val="28"/>
          <w:szCs w:val="28"/>
        </w:rPr>
      </w:pPr>
    </w:p>
    <w:p w14:paraId="02DAB31F" w14:textId="77777777" w:rsidR="00523253" w:rsidRDefault="00523253" w:rsidP="00523253">
      <w:pPr>
        <w:rPr>
          <w:b/>
          <w:sz w:val="28"/>
          <w:szCs w:val="28"/>
        </w:rPr>
      </w:pPr>
    </w:p>
    <w:p w14:paraId="1B16533A" w14:textId="22767D1B" w:rsidR="00F2668B" w:rsidRDefault="00F2668B" w:rsidP="00523253">
      <w:pPr>
        <w:rPr>
          <w:b/>
          <w:sz w:val="28"/>
          <w:szCs w:val="28"/>
        </w:rPr>
      </w:pPr>
    </w:p>
    <w:p w14:paraId="5E5BE978" w14:textId="21E31CEA" w:rsidR="007C417A" w:rsidRDefault="007C417A" w:rsidP="00523253">
      <w:pPr>
        <w:rPr>
          <w:b/>
          <w:sz w:val="28"/>
          <w:szCs w:val="28"/>
        </w:rPr>
      </w:pPr>
    </w:p>
    <w:p w14:paraId="42839CEF" w14:textId="77777777" w:rsidR="00523253" w:rsidRPr="00523253" w:rsidRDefault="00523253" w:rsidP="00523253">
      <w:pPr>
        <w:spacing w:after="0"/>
        <w:rPr>
          <w:color w:val="1F497D" w:themeColor="text2"/>
          <w:sz w:val="26"/>
          <w:szCs w:val="28"/>
        </w:rPr>
      </w:pPr>
      <w:r w:rsidRPr="00523253">
        <w:rPr>
          <w:color w:val="1F497D" w:themeColor="text2"/>
          <w:sz w:val="26"/>
          <w:szCs w:val="28"/>
        </w:rPr>
        <w:t>Bruce Mackenzie</w:t>
      </w:r>
    </w:p>
    <w:p w14:paraId="4E284488" w14:textId="77777777" w:rsidR="00523253" w:rsidRPr="00523253" w:rsidRDefault="00523253" w:rsidP="00523253">
      <w:pPr>
        <w:spacing w:after="0"/>
        <w:rPr>
          <w:color w:val="1F497D" w:themeColor="text2"/>
          <w:sz w:val="26"/>
          <w:szCs w:val="28"/>
        </w:rPr>
      </w:pPr>
      <w:r w:rsidRPr="00523253">
        <w:rPr>
          <w:color w:val="1F497D" w:themeColor="text2"/>
          <w:sz w:val="26"/>
          <w:szCs w:val="28"/>
        </w:rPr>
        <w:t>Mackenzie Research Institute</w:t>
      </w:r>
    </w:p>
    <w:p w14:paraId="79D9E8B9" w14:textId="77777777" w:rsidR="00523253" w:rsidRPr="00523253" w:rsidRDefault="00523253" w:rsidP="00523253">
      <w:pPr>
        <w:tabs>
          <w:tab w:val="left" w:pos="426"/>
        </w:tabs>
        <w:spacing w:after="0"/>
        <w:rPr>
          <w:color w:val="1F497D" w:themeColor="text2"/>
          <w:sz w:val="26"/>
          <w:szCs w:val="28"/>
        </w:rPr>
      </w:pPr>
    </w:p>
    <w:p w14:paraId="37C200D0" w14:textId="77777777" w:rsidR="00523253" w:rsidRPr="00523253" w:rsidRDefault="00523253" w:rsidP="00523253">
      <w:pPr>
        <w:tabs>
          <w:tab w:val="left" w:pos="426"/>
        </w:tabs>
        <w:spacing w:after="0"/>
        <w:rPr>
          <w:color w:val="1F497D" w:themeColor="text2"/>
          <w:sz w:val="26"/>
          <w:szCs w:val="28"/>
        </w:rPr>
      </w:pPr>
      <w:r w:rsidRPr="00523253">
        <w:rPr>
          <w:color w:val="1F497D" w:themeColor="text2"/>
          <w:sz w:val="26"/>
          <w:szCs w:val="28"/>
        </w:rPr>
        <w:t xml:space="preserve">E:   </w:t>
      </w:r>
      <w:r w:rsidRPr="00523253">
        <w:rPr>
          <w:color w:val="1F497D" w:themeColor="text2"/>
          <w:sz w:val="26"/>
          <w:szCs w:val="28"/>
        </w:rPr>
        <w:tab/>
      </w:r>
      <w:hyperlink r:id="rId9" w:history="1">
        <w:r w:rsidRPr="00523253">
          <w:rPr>
            <w:rStyle w:val="Hyperlink"/>
            <w:color w:val="1F497D" w:themeColor="text2"/>
            <w:sz w:val="26"/>
            <w:szCs w:val="28"/>
            <w:u w:val="none"/>
          </w:rPr>
          <w:t>info@mri.edu.au</w:t>
        </w:r>
      </w:hyperlink>
    </w:p>
    <w:p w14:paraId="28A5EBED" w14:textId="77777777" w:rsidR="00523253" w:rsidRPr="00523253" w:rsidRDefault="00523253" w:rsidP="00523253">
      <w:pPr>
        <w:tabs>
          <w:tab w:val="left" w:pos="426"/>
        </w:tabs>
        <w:spacing w:after="0"/>
        <w:rPr>
          <w:color w:val="1F497D" w:themeColor="text2"/>
          <w:sz w:val="26"/>
          <w:szCs w:val="28"/>
        </w:rPr>
      </w:pPr>
      <w:r w:rsidRPr="00523253">
        <w:rPr>
          <w:color w:val="1F497D" w:themeColor="text2"/>
          <w:sz w:val="26"/>
          <w:szCs w:val="28"/>
        </w:rPr>
        <w:tab/>
      </w:r>
      <w:hyperlink r:id="rId10" w:history="1">
        <w:r w:rsidRPr="00523253">
          <w:rPr>
            <w:rStyle w:val="Hyperlink"/>
            <w:color w:val="1F497D" w:themeColor="text2"/>
            <w:sz w:val="26"/>
            <w:szCs w:val="28"/>
            <w:u w:val="none"/>
          </w:rPr>
          <w:t>bruce.mackenzie45@gmail.com</w:t>
        </w:r>
      </w:hyperlink>
    </w:p>
    <w:p w14:paraId="0058BE11" w14:textId="77777777" w:rsidR="00523253" w:rsidRPr="00523253" w:rsidRDefault="00523253" w:rsidP="00523253">
      <w:pPr>
        <w:tabs>
          <w:tab w:val="left" w:pos="426"/>
        </w:tabs>
        <w:spacing w:after="0"/>
        <w:rPr>
          <w:color w:val="1F497D" w:themeColor="text2"/>
          <w:sz w:val="26"/>
          <w:szCs w:val="28"/>
        </w:rPr>
      </w:pPr>
      <w:r w:rsidRPr="00523253">
        <w:rPr>
          <w:color w:val="1F497D" w:themeColor="text2"/>
          <w:sz w:val="26"/>
          <w:szCs w:val="28"/>
        </w:rPr>
        <w:t xml:space="preserve">M: </w:t>
      </w:r>
      <w:r w:rsidRPr="00523253">
        <w:rPr>
          <w:color w:val="1F497D" w:themeColor="text2"/>
          <w:sz w:val="26"/>
          <w:szCs w:val="28"/>
        </w:rPr>
        <w:tab/>
        <w:t>0417 147 016</w:t>
      </w:r>
    </w:p>
    <w:p w14:paraId="678032EB" w14:textId="77777777" w:rsidR="00523253" w:rsidRPr="00523253" w:rsidRDefault="00523253" w:rsidP="00523253">
      <w:pPr>
        <w:spacing w:after="0"/>
        <w:rPr>
          <w:color w:val="1F497D" w:themeColor="text2"/>
          <w:sz w:val="26"/>
          <w:szCs w:val="28"/>
        </w:rPr>
      </w:pPr>
    </w:p>
    <w:p w14:paraId="4A7368A5" w14:textId="77777777" w:rsidR="007C417A" w:rsidRDefault="00523253" w:rsidP="00281954">
      <w:pPr>
        <w:pStyle w:val="Footer"/>
        <w:rPr>
          <w:color w:val="1F497D" w:themeColor="text2"/>
          <w:sz w:val="26"/>
          <w:szCs w:val="28"/>
        </w:rPr>
      </w:pPr>
      <w:r>
        <w:rPr>
          <w:color w:val="1F497D" w:themeColor="text2"/>
          <w:sz w:val="26"/>
          <w:szCs w:val="28"/>
        </w:rPr>
        <w:t>May</w:t>
      </w:r>
      <w:r w:rsidRPr="00523253">
        <w:rPr>
          <w:color w:val="1F497D" w:themeColor="text2"/>
          <w:sz w:val="26"/>
          <w:szCs w:val="28"/>
        </w:rPr>
        <w:t xml:space="preserve"> 2020</w:t>
      </w:r>
    </w:p>
    <w:p w14:paraId="3A4C08D9" w14:textId="18432CE6" w:rsidR="007C417A" w:rsidRDefault="007C417A">
      <w:pPr>
        <w:rPr>
          <w:color w:val="1F497D" w:themeColor="text2"/>
          <w:sz w:val="26"/>
          <w:szCs w:val="28"/>
        </w:rPr>
      </w:pPr>
    </w:p>
    <w:p w14:paraId="5223F4F7" w14:textId="77777777" w:rsidR="007C417A" w:rsidRDefault="007C417A">
      <w:pPr>
        <w:rPr>
          <w:color w:val="1F497D" w:themeColor="text2"/>
          <w:sz w:val="26"/>
          <w:szCs w:val="28"/>
        </w:rPr>
        <w:sectPr w:rsidR="007C417A" w:rsidSect="007C417A">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276" w:left="1440" w:header="708" w:footer="708" w:gutter="0"/>
          <w:cols w:space="708"/>
          <w:titlePg/>
          <w:docGrid w:linePitch="360"/>
        </w:sectPr>
      </w:pPr>
    </w:p>
    <w:p w14:paraId="56CD2DB7" w14:textId="5769CE78" w:rsidR="00406C9B" w:rsidRDefault="00406C9B" w:rsidP="00F2668B">
      <w:pPr>
        <w:spacing w:after="0"/>
        <w:rPr>
          <w:b/>
          <w:color w:val="1F497D" w:themeColor="text2"/>
          <w:sz w:val="30"/>
        </w:rPr>
      </w:pPr>
      <w:r>
        <w:rPr>
          <w:b/>
          <w:color w:val="1F497D" w:themeColor="text2"/>
          <w:sz w:val="30"/>
        </w:rPr>
        <w:lastRenderedPageBreak/>
        <w:t>CONTENTS</w:t>
      </w:r>
    </w:p>
    <w:p w14:paraId="185FA458" w14:textId="77777777" w:rsidR="00594D25" w:rsidRPr="005646C5" w:rsidRDefault="00594D25" w:rsidP="00BB2AFE">
      <w:pPr>
        <w:spacing w:after="0" w:line="480" w:lineRule="auto"/>
        <w:rPr>
          <w:b/>
          <w:color w:val="1F497D" w:themeColor="text2"/>
          <w:sz w:val="30"/>
        </w:rPr>
      </w:pPr>
    </w:p>
    <w:p w14:paraId="35E2761E" w14:textId="4B60613F" w:rsidR="005646C5" w:rsidRPr="005646C5" w:rsidRDefault="00594D25" w:rsidP="005646C5">
      <w:pPr>
        <w:pStyle w:val="TOC1"/>
        <w:rPr>
          <w:rFonts w:eastAsiaTheme="minorEastAsia"/>
          <w:noProof/>
          <w:color w:val="1F497D" w:themeColor="text2"/>
          <w:lang w:eastAsia="en-AU"/>
        </w:rPr>
      </w:pPr>
      <w:r w:rsidRPr="005646C5">
        <w:rPr>
          <w:color w:val="1F497D" w:themeColor="text2"/>
          <w:sz w:val="24"/>
          <w:szCs w:val="24"/>
        </w:rPr>
        <w:fldChar w:fldCharType="begin"/>
      </w:r>
      <w:r w:rsidRPr="005646C5">
        <w:rPr>
          <w:color w:val="1F497D" w:themeColor="text2"/>
          <w:sz w:val="24"/>
          <w:szCs w:val="24"/>
        </w:rPr>
        <w:instrText xml:space="preserve"> TOC \o "1-3" \h \z \u </w:instrText>
      </w:r>
      <w:r w:rsidRPr="005646C5">
        <w:rPr>
          <w:color w:val="1F497D" w:themeColor="text2"/>
          <w:sz w:val="24"/>
          <w:szCs w:val="24"/>
        </w:rPr>
        <w:fldChar w:fldCharType="separate"/>
      </w:r>
      <w:hyperlink w:anchor="_Toc43128834" w:history="1">
        <w:r w:rsidR="005646C5" w:rsidRPr="005646C5">
          <w:rPr>
            <w:rStyle w:val="Hyperlink"/>
            <w:rFonts w:ascii="Calibri" w:hAnsi="Calibri" w:cs="Calibri"/>
            <w:b/>
            <w:noProof/>
            <w:color w:val="1F497D" w:themeColor="text2"/>
          </w:rPr>
          <w:t>SUBMISSION FOCUS</w:t>
        </w:r>
        <w:r w:rsidR="005646C5" w:rsidRPr="005646C5">
          <w:rPr>
            <w:noProof/>
            <w:webHidden/>
            <w:color w:val="1F497D" w:themeColor="text2"/>
          </w:rPr>
          <w:tab/>
        </w:r>
        <w:r w:rsidR="005646C5" w:rsidRPr="005646C5">
          <w:rPr>
            <w:noProof/>
            <w:webHidden/>
            <w:color w:val="1F497D" w:themeColor="text2"/>
          </w:rPr>
          <w:fldChar w:fldCharType="begin"/>
        </w:r>
        <w:r w:rsidR="005646C5" w:rsidRPr="005646C5">
          <w:rPr>
            <w:noProof/>
            <w:webHidden/>
            <w:color w:val="1F497D" w:themeColor="text2"/>
          </w:rPr>
          <w:instrText xml:space="preserve"> PAGEREF _Toc43128834 \h </w:instrText>
        </w:r>
        <w:r w:rsidR="005646C5" w:rsidRPr="005646C5">
          <w:rPr>
            <w:noProof/>
            <w:webHidden/>
            <w:color w:val="1F497D" w:themeColor="text2"/>
          </w:rPr>
        </w:r>
        <w:r w:rsidR="005646C5" w:rsidRPr="005646C5">
          <w:rPr>
            <w:noProof/>
            <w:webHidden/>
            <w:color w:val="1F497D" w:themeColor="text2"/>
          </w:rPr>
          <w:fldChar w:fldCharType="separate"/>
        </w:r>
        <w:r w:rsidR="005646C5" w:rsidRPr="005646C5">
          <w:rPr>
            <w:noProof/>
            <w:webHidden/>
            <w:color w:val="1F497D" w:themeColor="text2"/>
          </w:rPr>
          <w:t>3</w:t>
        </w:r>
        <w:r w:rsidR="005646C5" w:rsidRPr="005646C5">
          <w:rPr>
            <w:noProof/>
            <w:webHidden/>
            <w:color w:val="1F497D" w:themeColor="text2"/>
          </w:rPr>
          <w:fldChar w:fldCharType="end"/>
        </w:r>
      </w:hyperlink>
    </w:p>
    <w:p w14:paraId="4BDA2FFE" w14:textId="0E6A724F" w:rsidR="005646C5" w:rsidRPr="005646C5" w:rsidRDefault="005646C5" w:rsidP="005646C5">
      <w:pPr>
        <w:pStyle w:val="TOC2"/>
        <w:tabs>
          <w:tab w:val="right" w:leader="dot" w:pos="9016"/>
        </w:tabs>
        <w:spacing w:line="480" w:lineRule="auto"/>
        <w:rPr>
          <w:rFonts w:eastAsiaTheme="minorEastAsia"/>
          <w:noProof/>
          <w:color w:val="1F497D" w:themeColor="text2"/>
          <w:lang w:eastAsia="en-AU"/>
        </w:rPr>
      </w:pPr>
      <w:hyperlink w:anchor="_Toc43128835" w:history="1">
        <w:r w:rsidRPr="005646C5">
          <w:rPr>
            <w:rStyle w:val="Hyperlink"/>
            <w:rFonts w:ascii="Calibri" w:hAnsi="Calibri" w:cs="Calibri"/>
            <w:b/>
            <w:noProof/>
            <w:color w:val="1F497D" w:themeColor="text2"/>
          </w:rPr>
          <w:t>Links between productivity and tertiary education</w:t>
        </w:r>
        <w:r w:rsidRPr="005646C5">
          <w:rPr>
            <w:noProof/>
            <w:webHidden/>
            <w:color w:val="1F497D" w:themeColor="text2"/>
          </w:rPr>
          <w:tab/>
        </w:r>
        <w:r w:rsidRPr="005646C5">
          <w:rPr>
            <w:noProof/>
            <w:webHidden/>
            <w:color w:val="1F497D" w:themeColor="text2"/>
          </w:rPr>
          <w:fldChar w:fldCharType="begin"/>
        </w:r>
        <w:r w:rsidRPr="005646C5">
          <w:rPr>
            <w:noProof/>
            <w:webHidden/>
            <w:color w:val="1F497D" w:themeColor="text2"/>
          </w:rPr>
          <w:instrText xml:space="preserve"> PAGEREF _Toc43128835 \h </w:instrText>
        </w:r>
        <w:r w:rsidRPr="005646C5">
          <w:rPr>
            <w:noProof/>
            <w:webHidden/>
            <w:color w:val="1F497D" w:themeColor="text2"/>
          </w:rPr>
        </w:r>
        <w:r w:rsidRPr="005646C5">
          <w:rPr>
            <w:noProof/>
            <w:webHidden/>
            <w:color w:val="1F497D" w:themeColor="text2"/>
          </w:rPr>
          <w:fldChar w:fldCharType="separate"/>
        </w:r>
        <w:r w:rsidRPr="005646C5">
          <w:rPr>
            <w:noProof/>
            <w:webHidden/>
            <w:color w:val="1F497D" w:themeColor="text2"/>
          </w:rPr>
          <w:t>5</w:t>
        </w:r>
        <w:r w:rsidRPr="005646C5">
          <w:rPr>
            <w:noProof/>
            <w:webHidden/>
            <w:color w:val="1F497D" w:themeColor="text2"/>
          </w:rPr>
          <w:fldChar w:fldCharType="end"/>
        </w:r>
      </w:hyperlink>
    </w:p>
    <w:p w14:paraId="0C700DFA" w14:textId="0296047C" w:rsidR="005646C5" w:rsidRPr="005646C5" w:rsidRDefault="005646C5" w:rsidP="005646C5">
      <w:pPr>
        <w:pStyle w:val="TOC2"/>
        <w:tabs>
          <w:tab w:val="right" w:leader="dot" w:pos="9016"/>
        </w:tabs>
        <w:spacing w:line="480" w:lineRule="auto"/>
        <w:rPr>
          <w:rFonts w:eastAsiaTheme="minorEastAsia"/>
          <w:noProof/>
          <w:color w:val="1F497D" w:themeColor="text2"/>
          <w:lang w:eastAsia="en-AU"/>
        </w:rPr>
      </w:pPr>
      <w:hyperlink w:anchor="_Toc43128836" w:history="1">
        <w:r w:rsidRPr="005646C5">
          <w:rPr>
            <w:rStyle w:val="Hyperlink"/>
            <w:rFonts w:cstheme="minorHAnsi"/>
            <w:b/>
            <w:noProof/>
            <w:color w:val="1F497D" w:themeColor="text2"/>
          </w:rPr>
          <w:t>Upper secondary education outcomes</w:t>
        </w:r>
        <w:r w:rsidRPr="005646C5">
          <w:rPr>
            <w:noProof/>
            <w:webHidden/>
            <w:color w:val="1F497D" w:themeColor="text2"/>
          </w:rPr>
          <w:tab/>
        </w:r>
        <w:r w:rsidRPr="005646C5">
          <w:rPr>
            <w:noProof/>
            <w:webHidden/>
            <w:color w:val="1F497D" w:themeColor="text2"/>
          </w:rPr>
          <w:fldChar w:fldCharType="begin"/>
        </w:r>
        <w:r w:rsidRPr="005646C5">
          <w:rPr>
            <w:noProof/>
            <w:webHidden/>
            <w:color w:val="1F497D" w:themeColor="text2"/>
          </w:rPr>
          <w:instrText xml:space="preserve"> PAGEREF _Toc43128836 \h </w:instrText>
        </w:r>
        <w:r w:rsidRPr="005646C5">
          <w:rPr>
            <w:noProof/>
            <w:webHidden/>
            <w:color w:val="1F497D" w:themeColor="text2"/>
          </w:rPr>
        </w:r>
        <w:r w:rsidRPr="005646C5">
          <w:rPr>
            <w:noProof/>
            <w:webHidden/>
            <w:color w:val="1F497D" w:themeColor="text2"/>
          </w:rPr>
          <w:fldChar w:fldCharType="separate"/>
        </w:r>
        <w:r w:rsidRPr="005646C5">
          <w:rPr>
            <w:noProof/>
            <w:webHidden/>
            <w:color w:val="1F497D" w:themeColor="text2"/>
          </w:rPr>
          <w:t>7</w:t>
        </w:r>
        <w:r w:rsidRPr="005646C5">
          <w:rPr>
            <w:noProof/>
            <w:webHidden/>
            <w:color w:val="1F497D" w:themeColor="text2"/>
          </w:rPr>
          <w:fldChar w:fldCharType="end"/>
        </w:r>
      </w:hyperlink>
    </w:p>
    <w:p w14:paraId="41D4D61C" w14:textId="4AF2541D" w:rsidR="005646C5" w:rsidRPr="005646C5" w:rsidRDefault="005646C5" w:rsidP="005646C5">
      <w:pPr>
        <w:pStyle w:val="TOC2"/>
        <w:tabs>
          <w:tab w:val="right" w:leader="dot" w:pos="9016"/>
        </w:tabs>
        <w:spacing w:line="480" w:lineRule="auto"/>
        <w:rPr>
          <w:rFonts w:eastAsiaTheme="minorEastAsia"/>
          <w:noProof/>
          <w:color w:val="1F497D" w:themeColor="text2"/>
          <w:lang w:eastAsia="en-AU"/>
        </w:rPr>
      </w:pPr>
      <w:hyperlink w:anchor="_Toc43128837" w:history="1">
        <w:r w:rsidRPr="005646C5">
          <w:rPr>
            <w:rStyle w:val="Hyperlink"/>
            <w:rFonts w:ascii="Calibri" w:hAnsi="Calibri" w:cs="Calibri"/>
            <w:b/>
            <w:noProof/>
            <w:color w:val="1F497D" w:themeColor="text2"/>
          </w:rPr>
          <w:t>University outcomes</w:t>
        </w:r>
        <w:r w:rsidRPr="005646C5">
          <w:rPr>
            <w:noProof/>
            <w:webHidden/>
            <w:color w:val="1F497D" w:themeColor="text2"/>
          </w:rPr>
          <w:tab/>
        </w:r>
        <w:r w:rsidRPr="005646C5">
          <w:rPr>
            <w:noProof/>
            <w:webHidden/>
            <w:color w:val="1F497D" w:themeColor="text2"/>
          </w:rPr>
          <w:fldChar w:fldCharType="begin"/>
        </w:r>
        <w:r w:rsidRPr="005646C5">
          <w:rPr>
            <w:noProof/>
            <w:webHidden/>
            <w:color w:val="1F497D" w:themeColor="text2"/>
          </w:rPr>
          <w:instrText xml:space="preserve"> PAGEREF _Toc43128837 \h </w:instrText>
        </w:r>
        <w:r w:rsidRPr="005646C5">
          <w:rPr>
            <w:noProof/>
            <w:webHidden/>
            <w:color w:val="1F497D" w:themeColor="text2"/>
          </w:rPr>
        </w:r>
        <w:r w:rsidRPr="005646C5">
          <w:rPr>
            <w:noProof/>
            <w:webHidden/>
            <w:color w:val="1F497D" w:themeColor="text2"/>
          </w:rPr>
          <w:fldChar w:fldCharType="separate"/>
        </w:r>
        <w:r w:rsidRPr="005646C5">
          <w:rPr>
            <w:noProof/>
            <w:webHidden/>
            <w:color w:val="1F497D" w:themeColor="text2"/>
          </w:rPr>
          <w:t>9</w:t>
        </w:r>
        <w:r w:rsidRPr="005646C5">
          <w:rPr>
            <w:noProof/>
            <w:webHidden/>
            <w:color w:val="1F497D" w:themeColor="text2"/>
          </w:rPr>
          <w:fldChar w:fldCharType="end"/>
        </w:r>
      </w:hyperlink>
    </w:p>
    <w:p w14:paraId="1D26C30C" w14:textId="5D6A2599" w:rsidR="005646C5" w:rsidRPr="005646C5" w:rsidRDefault="005646C5" w:rsidP="005646C5">
      <w:pPr>
        <w:pStyle w:val="TOC2"/>
        <w:tabs>
          <w:tab w:val="right" w:leader="dot" w:pos="9016"/>
        </w:tabs>
        <w:spacing w:line="480" w:lineRule="auto"/>
        <w:rPr>
          <w:rFonts w:eastAsiaTheme="minorEastAsia"/>
          <w:noProof/>
          <w:color w:val="1F497D" w:themeColor="text2"/>
          <w:lang w:eastAsia="en-AU"/>
        </w:rPr>
      </w:pPr>
      <w:hyperlink w:anchor="_Toc43128838" w:history="1">
        <w:r w:rsidRPr="005646C5">
          <w:rPr>
            <w:rStyle w:val="Hyperlink"/>
            <w:rFonts w:ascii="Calibri" w:hAnsi="Calibri" w:cs="Calibri"/>
            <w:b/>
            <w:noProof/>
            <w:color w:val="1F497D" w:themeColor="text2"/>
          </w:rPr>
          <w:t>Productivity and employment outcomes</w:t>
        </w:r>
        <w:r w:rsidRPr="005646C5">
          <w:rPr>
            <w:noProof/>
            <w:webHidden/>
            <w:color w:val="1F497D" w:themeColor="text2"/>
          </w:rPr>
          <w:tab/>
        </w:r>
        <w:r w:rsidRPr="005646C5">
          <w:rPr>
            <w:noProof/>
            <w:webHidden/>
            <w:color w:val="1F497D" w:themeColor="text2"/>
          </w:rPr>
          <w:fldChar w:fldCharType="begin"/>
        </w:r>
        <w:r w:rsidRPr="005646C5">
          <w:rPr>
            <w:noProof/>
            <w:webHidden/>
            <w:color w:val="1F497D" w:themeColor="text2"/>
          </w:rPr>
          <w:instrText xml:space="preserve"> PAGEREF _Toc43128838 \h </w:instrText>
        </w:r>
        <w:r w:rsidRPr="005646C5">
          <w:rPr>
            <w:noProof/>
            <w:webHidden/>
            <w:color w:val="1F497D" w:themeColor="text2"/>
          </w:rPr>
        </w:r>
        <w:r w:rsidRPr="005646C5">
          <w:rPr>
            <w:noProof/>
            <w:webHidden/>
            <w:color w:val="1F497D" w:themeColor="text2"/>
          </w:rPr>
          <w:fldChar w:fldCharType="separate"/>
        </w:r>
        <w:r w:rsidRPr="005646C5">
          <w:rPr>
            <w:noProof/>
            <w:webHidden/>
            <w:color w:val="1F497D" w:themeColor="text2"/>
          </w:rPr>
          <w:t>11</w:t>
        </w:r>
        <w:r w:rsidRPr="005646C5">
          <w:rPr>
            <w:noProof/>
            <w:webHidden/>
            <w:color w:val="1F497D" w:themeColor="text2"/>
          </w:rPr>
          <w:fldChar w:fldCharType="end"/>
        </w:r>
      </w:hyperlink>
    </w:p>
    <w:p w14:paraId="731552C9" w14:textId="6C150C32" w:rsidR="005646C5" w:rsidRPr="005646C5" w:rsidRDefault="005646C5" w:rsidP="005646C5">
      <w:pPr>
        <w:pStyle w:val="TOC2"/>
        <w:tabs>
          <w:tab w:val="right" w:leader="dot" w:pos="9016"/>
        </w:tabs>
        <w:spacing w:line="480" w:lineRule="auto"/>
        <w:rPr>
          <w:rFonts w:eastAsiaTheme="minorEastAsia"/>
          <w:noProof/>
          <w:color w:val="1F497D" w:themeColor="text2"/>
          <w:lang w:eastAsia="en-AU"/>
        </w:rPr>
      </w:pPr>
      <w:hyperlink w:anchor="_Toc43128839" w:history="1">
        <w:r w:rsidRPr="005646C5">
          <w:rPr>
            <w:rStyle w:val="Hyperlink"/>
            <w:rFonts w:cstheme="minorHAnsi"/>
            <w:b/>
            <w:noProof/>
            <w:color w:val="1F497D" w:themeColor="text2"/>
          </w:rPr>
          <w:t>Vocational education outcomes</w:t>
        </w:r>
        <w:r w:rsidRPr="005646C5">
          <w:rPr>
            <w:noProof/>
            <w:webHidden/>
            <w:color w:val="1F497D" w:themeColor="text2"/>
          </w:rPr>
          <w:tab/>
        </w:r>
        <w:r w:rsidRPr="005646C5">
          <w:rPr>
            <w:noProof/>
            <w:webHidden/>
            <w:color w:val="1F497D" w:themeColor="text2"/>
          </w:rPr>
          <w:fldChar w:fldCharType="begin"/>
        </w:r>
        <w:r w:rsidRPr="005646C5">
          <w:rPr>
            <w:noProof/>
            <w:webHidden/>
            <w:color w:val="1F497D" w:themeColor="text2"/>
          </w:rPr>
          <w:instrText xml:space="preserve"> PAGEREF _Toc43128839 \h </w:instrText>
        </w:r>
        <w:r w:rsidRPr="005646C5">
          <w:rPr>
            <w:noProof/>
            <w:webHidden/>
            <w:color w:val="1F497D" w:themeColor="text2"/>
          </w:rPr>
        </w:r>
        <w:r w:rsidRPr="005646C5">
          <w:rPr>
            <w:noProof/>
            <w:webHidden/>
            <w:color w:val="1F497D" w:themeColor="text2"/>
          </w:rPr>
          <w:fldChar w:fldCharType="separate"/>
        </w:r>
        <w:r w:rsidRPr="005646C5">
          <w:rPr>
            <w:noProof/>
            <w:webHidden/>
            <w:color w:val="1F497D" w:themeColor="text2"/>
          </w:rPr>
          <w:t>15</w:t>
        </w:r>
        <w:r w:rsidRPr="005646C5">
          <w:rPr>
            <w:noProof/>
            <w:webHidden/>
            <w:color w:val="1F497D" w:themeColor="text2"/>
          </w:rPr>
          <w:fldChar w:fldCharType="end"/>
        </w:r>
      </w:hyperlink>
    </w:p>
    <w:p w14:paraId="1415E867" w14:textId="0A5380F5" w:rsidR="005646C5" w:rsidRPr="005646C5" w:rsidRDefault="005646C5" w:rsidP="005646C5">
      <w:pPr>
        <w:pStyle w:val="TOC2"/>
        <w:tabs>
          <w:tab w:val="right" w:leader="dot" w:pos="9016"/>
        </w:tabs>
        <w:spacing w:line="480" w:lineRule="auto"/>
        <w:rPr>
          <w:rFonts w:eastAsiaTheme="minorEastAsia"/>
          <w:noProof/>
          <w:color w:val="1F497D" w:themeColor="text2"/>
          <w:lang w:eastAsia="en-AU"/>
        </w:rPr>
      </w:pPr>
      <w:hyperlink w:anchor="_Toc43128840" w:history="1">
        <w:r w:rsidRPr="005646C5">
          <w:rPr>
            <w:rStyle w:val="Hyperlink"/>
            <w:rFonts w:cstheme="minorHAnsi"/>
            <w:b/>
            <w:noProof/>
            <w:color w:val="1F497D" w:themeColor="text2"/>
          </w:rPr>
          <w:t>Post-secondary education, productivity and economic growth</w:t>
        </w:r>
        <w:r w:rsidRPr="005646C5">
          <w:rPr>
            <w:noProof/>
            <w:webHidden/>
            <w:color w:val="1F497D" w:themeColor="text2"/>
          </w:rPr>
          <w:tab/>
        </w:r>
        <w:r w:rsidRPr="005646C5">
          <w:rPr>
            <w:noProof/>
            <w:webHidden/>
            <w:color w:val="1F497D" w:themeColor="text2"/>
          </w:rPr>
          <w:fldChar w:fldCharType="begin"/>
        </w:r>
        <w:r w:rsidRPr="005646C5">
          <w:rPr>
            <w:noProof/>
            <w:webHidden/>
            <w:color w:val="1F497D" w:themeColor="text2"/>
          </w:rPr>
          <w:instrText xml:space="preserve"> PAGEREF _Toc43128840 \h </w:instrText>
        </w:r>
        <w:r w:rsidRPr="005646C5">
          <w:rPr>
            <w:noProof/>
            <w:webHidden/>
            <w:color w:val="1F497D" w:themeColor="text2"/>
          </w:rPr>
        </w:r>
        <w:r w:rsidRPr="005646C5">
          <w:rPr>
            <w:noProof/>
            <w:webHidden/>
            <w:color w:val="1F497D" w:themeColor="text2"/>
          </w:rPr>
          <w:fldChar w:fldCharType="separate"/>
        </w:r>
        <w:r w:rsidRPr="005646C5">
          <w:rPr>
            <w:noProof/>
            <w:webHidden/>
            <w:color w:val="1F497D" w:themeColor="text2"/>
          </w:rPr>
          <w:t>16</w:t>
        </w:r>
        <w:r w:rsidRPr="005646C5">
          <w:rPr>
            <w:noProof/>
            <w:webHidden/>
            <w:color w:val="1F497D" w:themeColor="text2"/>
          </w:rPr>
          <w:fldChar w:fldCharType="end"/>
        </w:r>
      </w:hyperlink>
    </w:p>
    <w:p w14:paraId="278162CE" w14:textId="00FA931D" w:rsidR="005646C5" w:rsidRPr="005646C5" w:rsidRDefault="005646C5" w:rsidP="005646C5">
      <w:pPr>
        <w:pStyle w:val="TOC2"/>
        <w:tabs>
          <w:tab w:val="right" w:leader="dot" w:pos="9016"/>
        </w:tabs>
        <w:spacing w:line="480" w:lineRule="auto"/>
        <w:rPr>
          <w:rFonts w:eastAsiaTheme="minorEastAsia"/>
          <w:noProof/>
          <w:color w:val="1F497D" w:themeColor="text2"/>
          <w:lang w:eastAsia="en-AU"/>
        </w:rPr>
      </w:pPr>
      <w:hyperlink w:anchor="_Toc43128841" w:history="1">
        <w:r w:rsidRPr="005646C5">
          <w:rPr>
            <w:rStyle w:val="Hyperlink"/>
            <w:rFonts w:ascii="Calibri" w:hAnsi="Calibri" w:cs="Calibri"/>
            <w:b/>
            <w:noProof/>
            <w:color w:val="1F497D" w:themeColor="text2"/>
          </w:rPr>
          <w:t>Transitioning Victoria’s skill base</w:t>
        </w:r>
        <w:r w:rsidRPr="005646C5">
          <w:rPr>
            <w:noProof/>
            <w:webHidden/>
            <w:color w:val="1F497D" w:themeColor="text2"/>
          </w:rPr>
          <w:tab/>
        </w:r>
        <w:r w:rsidRPr="005646C5">
          <w:rPr>
            <w:noProof/>
            <w:webHidden/>
            <w:color w:val="1F497D" w:themeColor="text2"/>
          </w:rPr>
          <w:fldChar w:fldCharType="begin"/>
        </w:r>
        <w:r w:rsidRPr="005646C5">
          <w:rPr>
            <w:noProof/>
            <w:webHidden/>
            <w:color w:val="1F497D" w:themeColor="text2"/>
          </w:rPr>
          <w:instrText xml:space="preserve"> PAGEREF _Toc43128841 \h </w:instrText>
        </w:r>
        <w:r w:rsidRPr="005646C5">
          <w:rPr>
            <w:noProof/>
            <w:webHidden/>
            <w:color w:val="1F497D" w:themeColor="text2"/>
          </w:rPr>
        </w:r>
        <w:r w:rsidRPr="005646C5">
          <w:rPr>
            <w:noProof/>
            <w:webHidden/>
            <w:color w:val="1F497D" w:themeColor="text2"/>
          </w:rPr>
          <w:fldChar w:fldCharType="separate"/>
        </w:r>
        <w:r w:rsidRPr="005646C5">
          <w:rPr>
            <w:noProof/>
            <w:webHidden/>
            <w:color w:val="1F497D" w:themeColor="text2"/>
          </w:rPr>
          <w:t>17</w:t>
        </w:r>
        <w:r w:rsidRPr="005646C5">
          <w:rPr>
            <w:noProof/>
            <w:webHidden/>
            <w:color w:val="1F497D" w:themeColor="text2"/>
          </w:rPr>
          <w:fldChar w:fldCharType="end"/>
        </w:r>
      </w:hyperlink>
    </w:p>
    <w:p w14:paraId="29B832D5" w14:textId="4F8B83EB" w:rsidR="005646C5" w:rsidRPr="005646C5" w:rsidRDefault="005646C5" w:rsidP="005646C5">
      <w:pPr>
        <w:pStyle w:val="TOC2"/>
        <w:tabs>
          <w:tab w:val="right" w:leader="dot" w:pos="9016"/>
        </w:tabs>
        <w:spacing w:line="480" w:lineRule="auto"/>
        <w:rPr>
          <w:rFonts w:eastAsiaTheme="minorEastAsia"/>
          <w:noProof/>
          <w:color w:val="1F497D" w:themeColor="text2"/>
          <w:lang w:eastAsia="en-AU"/>
        </w:rPr>
      </w:pPr>
      <w:hyperlink w:anchor="_Toc43128842" w:history="1">
        <w:r w:rsidRPr="005646C5">
          <w:rPr>
            <w:rStyle w:val="Hyperlink"/>
            <w:rFonts w:cstheme="minorHAnsi"/>
            <w:b/>
            <w:noProof/>
            <w:color w:val="1F497D" w:themeColor="text2"/>
          </w:rPr>
          <w:t>Intermediate skills and the innovative productive economy</w:t>
        </w:r>
        <w:r w:rsidRPr="005646C5">
          <w:rPr>
            <w:noProof/>
            <w:webHidden/>
            <w:color w:val="1F497D" w:themeColor="text2"/>
          </w:rPr>
          <w:tab/>
        </w:r>
        <w:r w:rsidRPr="005646C5">
          <w:rPr>
            <w:noProof/>
            <w:webHidden/>
            <w:color w:val="1F497D" w:themeColor="text2"/>
          </w:rPr>
          <w:fldChar w:fldCharType="begin"/>
        </w:r>
        <w:r w:rsidRPr="005646C5">
          <w:rPr>
            <w:noProof/>
            <w:webHidden/>
            <w:color w:val="1F497D" w:themeColor="text2"/>
          </w:rPr>
          <w:instrText xml:space="preserve"> PAGEREF _Toc43128842 \h </w:instrText>
        </w:r>
        <w:r w:rsidRPr="005646C5">
          <w:rPr>
            <w:noProof/>
            <w:webHidden/>
            <w:color w:val="1F497D" w:themeColor="text2"/>
          </w:rPr>
        </w:r>
        <w:r w:rsidRPr="005646C5">
          <w:rPr>
            <w:noProof/>
            <w:webHidden/>
            <w:color w:val="1F497D" w:themeColor="text2"/>
          </w:rPr>
          <w:fldChar w:fldCharType="separate"/>
        </w:r>
        <w:r w:rsidRPr="005646C5">
          <w:rPr>
            <w:noProof/>
            <w:webHidden/>
            <w:color w:val="1F497D" w:themeColor="text2"/>
          </w:rPr>
          <w:t>17</w:t>
        </w:r>
        <w:r w:rsidRPr="005646C5">
          <w:rPr>
            <w:noProof/>
            <w:webHidden/>
            <w:color w:val="1F497D" w:themeColor="text2"/>
          </w:rPr>
          <w:fldChar w:fldCharType="end"/>
        </w:r>
      </w:hyperlink>
    </w:p>
    <w:p w14:paraId="1A82DF7C" w14:textId="7728B2C6" w:rsidR="005646C5" w:rsidRPr="005646C5" w:rsidRDefault="005646C5" w:rsidP="005646C5">
      <w:pPr>
        <w:pStyle w:val="TOC2"/>
        <w:tabs>
          <w:tab w:val="right" w:leader="dot" w:pos="9016"/>
        </w:tabs>
        <w:spacing w:line="480" w:lineRule="auto"/>
        <w:rPr>
          <w:rFonts w:eastAsiaTheme="minorEastAsia"/>
          <w:noProof/>
          <w:color w:val="1F497D" w:themeColor="text2"/>
          <w:lang w:eastAsia="en-AU"/>
        </w:rPr>
      </w:pPr>
      <w:hyperlink w:anchor="_Toc43128843" w:history="1">
        <w:r w:rsidRPr="005646C5">
          <w:rPr>
            <w:rStyle w:val="Hyperlink"/>
            <w:rFonts w:ascii="Calibri" w:hAnsi="Calibri" w:cs="Calibri"/>
            <w:b/>
            <w:noProof/>
            <w:color w:val="1F497D" w:themeColor="text2"/>
          </w:rPr>
          <w:t>Strengthening intermediate skills in the Victorian economy</w:t>
        </w:r>
        <w:r w:rsidRPr="005646C5">
          <w:rPr>
            <w:noProof/>
            <w:webHidden/>
            <w:color w:val="1F497D" w:themeColor="text2"/>
          </w:rPr>
          <w:tab/>
        </w:r>
        <w:r w:rsidRPr="005646C5">
          <w:rPr>
            <w:noProof/>
            <w:webHidden/>
            <w:color w:val="1F497D" w:themeColor="text2"/>
          </w:rPr>
          <w:fldChar w:fldCharType="begin"/>
        </w:r>
        <w:r w:rsidRPr="005646C5">
          <w:rPr>
            <w:noProof/>
            <w:webHidden/>
            <w:color w:val="1F497D" w:themeColor="text2"/>
          </w:rPr>
          <w:instrText xml:space="preserve"> PAGEREF _Toc43128843 \h </w:instrText>
        </w:r>
        <w:r w:rsidRPr="005646C5">
          <w:rPr>
            <w:noProof/>
            <w:webHidden/>
            <w:color w:val="1F497D" w:themeColor="text2"/>
          </w:rPr>
        </w:r>
        <w:r w:rsidRPr="005646C5">
          <w:rPr>
            <w:noProof/>
            <w:webHidden/>
            <w:color w:val="1F497D" w:themeColor="text2"/>
          </w:rPr>
          <w:fldChar w:fldCharType="separate"/>
        </w:r>
        <w:r w:rsidRPr="005646C5">
          <w:rPr>
            <w:noProof/>
            <w:webHidden/>
            <w:color w:val="1F497D" w:themeColor="text2"/>
          </w:rPr>
          <w:t>19</w:t>
        </w:r>
        <w:r w:rsidRPr="005646C5">
          <w:rPr>
            <w:noProof/>
            <w:webHidden/>
            <w:color w:val="1F497D" w:themeColor="text2"/>
          </w:rPr>
          <w:fldChar w:fldCharType="end"/>
        </w:r>
      </w:hyperlink>
    </w:p>
    <w:p w14:paraId="29C4642D" w14:textId="7D4FC134" w:rsidR="005646C5" w:rsidRPr="005646C5" w:rsidRDefault="005646C5" w:rsidP="005646C5">
      <w:pPr>
        <w:pStyle w:val="TOC2"/>
        <w:tabs>
          <w:tab w:val="right" w:leader="dot" w:pos="9016"/>
        </w:tabs>
        <w:spacing w:line="480" w:lineRule="auto"/>
        <w:rPr>
          <w:rFonts w:eastAsiaTheme="minorEastAsia"/>
          <w:noProof/>
          <w:color w:val="1F497D" w:themeColor="text2"/>
          <w:lang w:eastAsia="en-AU"/>
        </w:rPr>
      </w:pPr>
      <w:hyperlink w:anchor="_Toc43128844" w:history="1">
        <w:r w:rsidRPr="005646C5">
          <w:rPr>
            <w:rStyle w:val="Hyperlink"/>
            <w:rFonts w:ascii="Calibri" w:hAnsi="Calibri" w:cs="Calibri"/>
            <w:b/>
            <w:noProof/>
            <w:color w:val="1F497D" w:themeColor="text2"/>
          </w:rPr>
          <w:t>Developing a lower intermediate track in Victoria</w:t>
        </w:r>
        <w:r w:rsidRPr="005646C5">
          <w:rPr>
            <w:noProof/>
            <w:webHidden/>
            <w:color w:val="1F497D" w:themeColor="text2"/>
          </w:rPr>
          <w:tab/>
        </w:r>
        <w:r w:rsidRPr="005646C5">
          <w:rPr>
            <w:noProof/>
            <w:webHidden/>
            <w:color w:val="1F497D" w:themeColor="text2"/>
          </w:rPr>
          <w:fldChar w:fldCharType="begin"/>
        </w:r>
        <w:r w:rsidRPr="005646C5">
          <w:rPr>
            <w:noProof/>
            <w:webHidden/>
            <w:color w:val="1F497D" w:themeColor="text2"/>
          </w:rPr>
          <w:instrText xml:space="preserve"> PAGEREF _Toc43128844 \h </w:instrText>
        </w:r>
        <w:r w:rsidRPr="005646C5">
          <w:rPr>
            <w:noProof/>
            <w:webHidden/>
            <w:color w:val="1F497D" w:themeColor="text2"/>
          </w:rPr>
        </w:r>
        <w:r w:rsidRPr="005646C5">
          <w:rPr>
            <w:noProof/>
            <w:webHidden/>
            <w:color w:val="1F497D" w:themeColor="text2"/>
          </w:rPr>
          <w:fldChar w:fldCharType="separate"/>
        </w:r>
        <w:r w:rsidRPr="005646C5">
          <w:rPr>
            <w:noProof/>
            <w:webHidden/>
            <w:color w:val="1F497D" w:themeColor="text2"/>
          </w:rPr>
          <w:t>19</w:t>
        </w:r>
        <w:r w:rsidRPr="005646C5">
          <w:rPr>
            <w:noProof/>
            <w:webHidden/>
            <w:color w:val="1F497D" w:themeColor="text2"/>
          </w:rPr>
          <w:fldChar w:fldCharType="end"/>
        </w:r>
      </w:hyperlink>
    </w:p>
    <w:p w14:paraId="6E43DACD" w14:textId="32C75724" w:rsidR="005646C5" w:rsidRPr="005646C5" w:rsidRDefault="005646C5" w:rsidP="005646C5">
      <w:pPr>
        <w:pStyle w:val="TOC2"/>
        <w:tabs>
          <w:tab w:val="right" w:leader="dot" w:pos="9016"/>
        </w:tabs>
        <w:spacing w:line="480" w:lineRule="auto"/>
        <w:rPr>
          <w:rFonts w:eastAsiaTheme="minorEastAsia"/>
          <w:noProof/>
          <w:color w:val="1F497D" w:themeColor="text2"/>
          <w:lang w:eastAsia="en-AU"/>
        </w:rPr>
      </w:pPr>
      <w:hyperlink w:anchor="_Toc43128845" w:history="1">
        <w:r w:rsidRPr="005646C5">
          <w:rPr>
            <w:rStyle w:val="Hyperlink"/>
            <w:rFonts w:cstheme="minorHAnsi"/>
            <w:b/>
            <w:noProof/>
            <w:color w:val="1F497D" w:themeColor="text2"/>
          </w:rPr>
          <w:t>Strengthening a higher intermediate track</w:t>
        </w:r>
        <w:r w:rsidRPr="005646C5">
          <w:rPr>
            <w:noProof/>
            <w:webHidden/>
            <w:color w:val="1F497D" w:themeColor="text2"/>
          </w:rPr>
          <w:tab/>
        </w:r>
        <w:r w:rsidRPr="005646C5">
          <w:rPr>
            <w:noProof/>
            <w:webHidden/>
            <w:color w:val="1F497D" w:themeColor="text2"/>
          </w:rPr>
          <w:fldChar w:fldCharType="begin"/>
        </w:r>
        <w:r w:rsidRPr="005646C5">
          <w:rPr>
            <w:noProof/>
            <w:webHidden/>
            <w:color w:val="1F497D" w:themeColor="text2"/>
          </w:rPr>
          <w:instrText xml:space="preserve"> PAGEREF _Toc43128845 \h </w:instrText>
        </w:r>
        <w:r w:rsidRPr="005646C5">
          <w:rPr>
            <w:noProof/>
            <w:webHidden/>
            <w:color w:val="1F497D" w:themeColor="text2"/>
          </w:rPr>
        </w:r>
        <w:r w:rsidRPr="005646C5">
          <w:rPr>
            <w:noProof/>
            <w:webHidden/>
            <w:color w:val="1F497D" w:themeColor="text2"/>
          </w:rPr>
          <w:fldChar w:fldCharType="separate"/>
        </w:r>
        <w:r w:rsidRPr="005646C5">
          <w:rPr>
            <w:noProof/>
            <w:webHidden/>
            <w:color w:val="1F497D" w:themeColor="text2"/>
          </w:rPr>
          <w:t>21</w:t>
        </w:r>
        <w:r w:rsidRPr="005646C5">
          <w:rPr>
            <w:noProof/>
            <w:webHidden/>
            <w:color w:val="1F497D" w:themeColor="text2"/>
          </w:rPr>
          <w:fldChar w:fldCharType="end"/>
        </w:r>
      </w:hyperlink>
    </w:p>
    <w:p w14:paraId="3C2DDD1D" w14:textId="401FE00F" w:rsidR="005646C5" w:rsidRPr="005646C5" w:rsidRDefault="005646C5" w:rsidP="005646C5">
      <w:pPr>
        <w:pStyle w:val="TOC1"/>
        <w:rPr>
          <w:rFonts w:eastAsiaTheme="minorEastAsia"/>
          <w:noProof/>
          <w:color w:val="1F497D" w:themeColor="text2"/>
          <w:lang w:eastAsia="en-AU"/>
        </w:rPr>
      </w:pPr>
      <w:hyperlink w:anchor="_Toc43128846" w:history="1">
        <w:r w:rsidRPr="005646C5">
          <w:rPr>
            <w:rStyle w:val="Hyperlink"/>
            <w:rFonts w:ascii="Calibri" w:hAnsi="Calibri" w:cs="Calibri"/>
            <w:b/>
            <w:noProof/>
            <w:color w:val="1F497D" w:themeColor="text2"/>
          </w:rPr>
          <w:t>CONCLUSION</w:t>
        </w:r>
        <w:r w:rsidRPr="005646C5">
          <w:rPr>
            <w:noProof/>
            <w:webHidden/>
            <w:color w:val="1F497D" w:themeColor="text2"/>
          </w:rPr>
          <w:tab/>
        </w:r>
        <w:r w:rsidRPr="005646C5">
          <w:rPr>
            <w:noProof/>
            <w:webHidden/>
            <w:color w:val="1F497D" w:themeColor="text2"/>
          </w:rPr>
          <w:fldChar w:fldCharType="begin"/>
        </w:r>
        <w:r w:rsidRPr="005646C5">
          <w:rPr>
            <w:noProof/>
            <w:webHidden/>
            <w:color w:val="1F497D" w:themeColor="text2"/>
          </w:rPr>
          <w:instrText xml:space="preserve"> PAGEREF _Toc43128846 \h </w:instrText>
        </w:r>
        <w:r w:rsidRPr="005646C5">
          <w:rPr>
            <w:noProof/>
            <w:webHidden/>
            <w:color w:val="1F497D" w:themeColor="text2"/>
          </w:rPr>
        </w:r>
        <w:r w:rsidRPr="005646C5">
          <w:rPr>
            <w:noProof/>
            <w:webHidden/>
            <w:color w:val="1F497D" w:themeColor="text2"/>
          </w:rPr>
          <w:fldChar w:fldCharType="separate"/>
        </w:r>
        <w:r w:rsidRPr="005646C5">
          <w:rPr>
            <w:noProof/>
            <w:webHidden/>
            <w:color w:val="1F497D" w:themeColor="text2"/>
          </w:rPr>
          <w:t>24</w:t>
        </w:r>
        <w:r w:rsidRPr="005646C5">
          <w:rPr>
            <w:noProof/>
            <w:webHidden/>
            <w:color w:val="1F497D" w:themeColor="text2"/>
          </w:rPr>
          <w:fldChar w:fldCharType="end"/>
        </w:r>
      </w:hyperlink>
    </w:p>
    <w:p w14:paraId="46887814" w14:textId="2719A833" w:rsidR="005646C5" w:rsidRPr="005646C5" w:rsidRDefault="005646C5" w:rsidP="005646C5">
      <w:pPr>
        <w:pStyle w:val="TOC1"/>
        <w:rPr>
          <w:rFonts w:eastAsiaTheme="minorEastAsia"/>
          <w:noProof/>
          <w:color w:val="1F497D" w:themeColor="text2"/>
          <w:lang w:eastAsia="en-AU"/>
        </w:rPr>
      </w:pPr>
      <w:hyperlink w:anchor="_Toc43128847" w:history="1">
        <w:r w:rsidRPr="005646C5">
          <w:rPr>
            <w:rStyle w:val="Hyperlink"/>
            <w:rFonts w:ascii="Calibri" w:hAnsi="Calibri" w:cs="Calibri"/>
            <w:b/>
            <w:noProof/>
            <w:color w:val="1F497D" w:themeColor="text2"/>
          </w:rPr>
          <w:t>ATTACHMENTS</w:t>
        </w:r>
        <w:r w:rsidRPr="005646C5">
          <w:rPr>
            <w:noProof/>
            <w:webHidden/>
            <w:color w:val="1F497D" w:themeColor="text2"/>
          </w:rPr>
          <w:tab/>
        </w:r>
        <w:r w:rsidRPr="005646C5">
          <w:rPr>
            <w:noProof/>
            <w:webHidden/>
            <w:color w:val="1F497D" w:themeColor="text2"/>
          </w:rPr>
          <w:fldChar w:fldCharType="begin"/>
        </w:r>
        <w:r w:rsidRPr="005646C5">
          <w:rPr>
            <w:noProof/>
            <w:webHidden/>
            <w:color w:val="1F497D" w:themeColor="text2"/>
          </w:rPr>
          <w:instrText xml:space="preserve"> PAGEREF _Toc43128847 \h </w:instrText>
        </w:r>
        <w:r w:rsidRPr="005646C5">
          <w:rPr>
            <w:noProof/>
            <w:webHidden/>
            <w:color w:val="1F497D" w:themeColor="text2"/>
          </w:rPr>
        </w:r>
        <w:r w:rsidRPr="005646C5">
          <w:rPr>
            <w:noProof/>
            <w:webHidden/>
            <w:color w:val="1F497D" w:themeColor="text2"/>
          </w:rPr>
          <w:fldChar w:fldCharType="separate"/>
        </w:r>
        <w:r w:rsidRPr="005646C5">
          <w:rPr>
            <w:noProof/>
            <w:webHidden/>
            <w:color w:val="1F497D" w:themeColor="text2"/>
          </w:rPr>
          <w:t>26</w:t>
        </w:r>
        <w:r w:rsidRPr="005646C5">
          <w:rPr>
            <w:noProof/>
            <w:webHidden/>
            <w:color w:val="1F497D" w:themeColor="text2"/>
          </w:rPr>
          <w:fldChar w:fldCharType="end"/>
        </w:r>
      </w:hyperlink>
    </w:p>
    <w:p w14:paraId="7C73693C" w14:textId="0AD8690B" w:rsidR="005646C5" w:rsidRPr="005646C5" w:rsidRDefault="005646C5" w:rsidP="005646C5">
      <w:pPr>
        <w:pStyle w:val="TOC2"/>
        <w:tabs>
          <w:tab w:val="right" w:leader="dot" w:pos="9016"/>
        </w:tabs>
        <w:spacing w:line="480" w:lineRule="auto"/>
        <w:rPr>
          <w:rFonts w:eastAsiaTheme="minorEastAsia"/>
          <w:noProof/>
          <w:color w:val="1F497D" w:themeColor="text2"/>
          <w:lang w:eastAsia="en-AU"/>
        </w:rPr>
      </w:pPr>
      <w:hyperlink w:anchor="_Toc43128848" w:history="1">
        <w:r w:rsidRPr="005646C5">
          <w:rPr>
            <w:rStyle w:val="Hyperlink"/>
            <w:rFonts w:ascii="Calibri" w:hAnsi="Calibri" w:cs="Calibri"/>
            <w:b/>
            <w:noProof/>
            <w:color w:val="1F497D" w:themeColor="text2"/>
          </w:rPr>
          <w:t>Attachment A  Current international skills position</w:t>
        </w:r>
        <w:r w:rsidRPr="005646C5">
          <w:rPr>
            <w:noProof/>
            <w:webHidden/>
            <w:color w:val="1F497D" w:themeColor="text2"/>
          </w:rPr>
          <w:tab/>
        </w:r>
        <w:r w:rsidRPr="005646C5">
          <w:rPr>
            <w:noProof/>
            <w:webHidden/>
            <w:color w:val="1F497D" w:themeColor="text2"/>
          </w:rPr>
          <w:fldChar w:fldCharType="begin"/>
        </w:r>
        <w:r w:rsidRPr="005646C5">
          <w:rPr>
            <w:noProof/>
            <w:webHidden/>
            <w:color w:val="1F497D" w:themeColor="text2"/>
          </w:rPr>
          <w:instrText xml:space="preserve"> PAGEREF _Toc43128848 \h </w:instrText>
        </w:r>
        <w:r w:rsidRPr="005646C5">
          <w:rPr>
            <w:noProof/>
            <w:webHidden/>
            <w:color w:val="1F497D" w:themeColor="text2"/>
          </w:rPr>
        </w:r>
        <w:r w:rsidRPr="005646C5">
          <w:rPr>
            <w:noProof/>
            <w:webHidden/>
            <w:color w:val="1F497D" w:themeColor="text2"/>
          </w:rPr>
          <w:fldChar w:fldCharType="separate"/>
        </w:r>
        <w:r w:rsidRPr="005646C5">
          <w:rPr>
            <w:noProof/>
            <w:webHidden/>
            <w:color w:val="1F497D" w:themeColor="text2"/>
          </w:rPr>
          <w:t>26</w:t>
        </w:r>
        <w:r w:rsidRPr="005646C5">
          <w:rPr>
            <w:noProof/>
            <w:webHidden/>
            <w:color w:val="1F497D" w:themeColor="text2"/>
          </w:rPr>
          <w:fldChar w:fldCharType="end"/>
        </w:r>
      </w:hyperlink>
    </w:p>
    <w:p w14:paraId="7299180F" w14:textId="7C7E77CF" w:rsidR="005646C5" w:rsidRPr="005646C5" w:rsidRDefault="005646C5" w:rsidP="005646C5">
      <w:pPr>
        <w:pStyle w:val="TOC2"/>
        <w:tabs>
          <w:tab w:val="right" w:leader="dot" w:pos="9016"/>
        </w:tabs>
        <w:spacing w:line="480" w:lineRule="auto"/>
        <w:rPr>
          <w:rFonts w:eastAsiaTheme="minorEastAsia"/>
          <w:noProof/>
          <w:color w:val="1F497D" w:themeColor="text2"/>
          <w:lang w:eastAsia="en-AU"/>
        </w:rPr>
      </w:pPr>
      <w:hyperlink w:anchor="_Toc43128849" w:history="1">
        <w:r w:rsidRPr="005646C5">
          <w:rPr>
            <w:rStyle w:val="Hyperlink"/>
            <w:rFonts w:ascii="Calibri" w:hAnsi="Calibri" w:cs="Calibri"/>
            <w:b/>
            <w:noProof/>
            <w:color w:val="1F497D" w:themeColor="text2"/>
          </w:rPr>
          <w:t>Attachment B  Correspondence between AQF levels and EQF levels</w:t>
        </w:r>
        <w:r w:rsidRPr="005646C5">
          <w:rPr>
            <w:noProof/>
            <w:webHidden/>
            <w:color w:val="1F497D" w:themeColor="text2"/>
          </w:rPr>
          <w:tab/>
        </w:r>
        <w:r w:rsidRPr="005646C5">
          <w:rPr>
            <w:noProof/>
            <w:webHidden/>
            <w:color w:val="1F497D" w:themeColor="text2"/>
          </w:rPr>
          <w:fldChar w:fldCharType="begin"/>
        </w:r>
        <w:r w:rsidRPr="005646C5">
          <w:rPr>
            <w:noProof/>
            <w:webHidden/>
            <w:color w:val="1F497D" w:themeColor="text2"/>
          </w:rPr>
          <w:instrText xml:space="preserve"> PAGEREF _Toc43128849 \h </w:instrText>
        </w:r>
        <w:r w:rsidRPr="005646C5">
          <w:rPr>
            <w:noProof/>
            <w:webHidden/>
            <w:color w:val="1F497D" w:themeColor="text2"/>
          </w:rPr>
        </w:r>
        <w:r w:rsidRPr="005646C5">
          <w:rPr>
            <w:noProof/>
            <w:webHidden/>
            <w:color w:val="1F497D" w:themeColor="text2"/>
          </w:rPr>
          <w:fldChar w:fldCharType="separate"/>
        </w:r>
        <w:r w:rsidRPr="005646C5">
          <w:rPr>
            <w:noProof/>
            <w:webHidden/>
            <w:color w:val="1F497D" w:themeColor="text2"/>
          </w:rPr>
          <w:t>27</w:t>
        </w:r>
        <w:r w:rsidRPr="005646C5">
          <w:rPr>
            <w:noProof/>
            <w:webHidden/>
            <w:color w:val="1F497D" w:themeColor="text2"/>
          </w:rPr>
          <w:fldChar w:fldCharType="end"/>
        </w:r>
      </w:hyperlink>
    </w:p>
    <w:p w14:paraId="763CDBA0" w14:textId="3DB78A93" w:rsidR="005646C5" w:rsidRPr="005646C5" w:rsidRDefault="005646C5" w:rsidP="005646C5">
      <w:pPr>
        <w:pStyle w:val="TOC1"/>
        <w:rPr>
          <w:rFonts w:eastAsiaTheme="minorEastAsia"/>
          <w:noProof/>
          <w:color w:val="1F497D" w:themeColor="text2"/>
          <w:lang w:eastAsia="en-AU"/>
        </w:rPr>
      </w:pPr>
      <w:hyperlink w:anchor="_Toc43128850" w:history="1">
        <w:r w:rsidRPr="005646C5">
          <w:rPr>
            <w:rStyle w:val="Hyperlink"/>
            <w:rFonts w:cstheme="minorHAnsi"/>
            <w:b/>
            <w:noProof/>
            <w:color w:val="1F497D" w:themeColor="text2"/>
          </w:rPr>
          <w:t>REFERENCES</w:t>
        </w:r>
        <w:r w:rsidRPr="005646C5">
          <w:rPr>
            <w:noProof/>
            <w:webHidden/>
            <w:color w:val="1F497D" w:themeColor="text2"/>
          </w:rPr>
          <w:tab/>
        </w:r>
        <w:r w:rsidRPr="005646C5">
          <w:rPr>
            <w:noProof/>
            <w:webHidden/>
            <w:color w:val="1F497D" w:themeColor="text2"/>
          </w:rPr>
          <w:fldChar w:fldCharType="begin"/>
        </w:r>
        <w:r w:rsidRPr="005646C5">
          <w:rPr>
            <w:noProof/>
            <w:webHidden/>
            <w:color w:val="1F497D" w:themeColor="text2"/>
          </w:rPr>
          <w:instrText xml:space="preserve"> PAGEREF _Toc43128850 \h </w:instrText>
        </w:r>
        <w:r w:rsidRPr="005646C5">
          <w:rPr>
            <w:noProof/>
            <w:webHidden/>
            <w:color w:val="1F497D" w:themeColor="text2"/>
          </w:rPr>
        </w:r>
        <w:r w:rsidRPr="005646C5">
          <w:rPr>
            <w:noProof/>
            <w:webHidden/>
            <w:color w:val="1F497D" w:themeColor="text2"/>
          </w:rPr>
          <w:fldChar w:fldCharType="separate"/>
        </w:r>
        <w:r w:rsidRPr="005646C5">
          <w:rPr>
            <w:noProof/>
            <w:webHidden/>
            <w:color w:val="1F497D" w:themeColor="text2"/>
          </w:rPr>
          <w:t>28</w:t>
        </w:r>
        <w:r w:rsidRPr="005646C5">
          <w:rPr>
            <w:noProof/>
            <w:webHidden/>
            <w:color w:val="1F497D" w:themeColor="text2"/>
          </w:rPr>
          <w:fldChar w:fldCharType="end"/>
        </w:r>
      </w:hyperlink>
    </w:p>
    <w:p w14:paraId="38D04BF1" w14:textId="6EB1CBC0" w:rsidR="00DA2E08" w:rsidRDefault="00594D25" w:rsidP="004C4392">
      <w:pPr>
        <w:tabs>
          <w:tab w:val="right" w:pos="8505"/>
        </w:tabs>
        <w:spacing w:line="480" w:lineRule="auto"/>
        <w:rPr>
          <w:b/>
          <w:color w:val="1F497D" w:themeColor="text2"/>
          <w:sz w:val="30"/>
        </w:rPr>
      </w:pPr>
      <w:r w:rsidRPr="005646C5">
        <w:rPr>
          <w:color w:val="1F497D" w:themeColor="text2"/>
          <w:sz w:val="24"/>
          <w:szCs w:val="24"/>
        </w:rPr>
        <w:fldChar w:fldCharType="end"/>
      </w:r>
      <w:r w:rsidR="00DA2E08">
        <w:rPr>
          <w:b/>
          <w:color w:val="1F497D" w:themeColor="text2"/>
          <w:sz w:val="30"/>
        </w:rPr>
        <w:br w:type="page"/>
      </w:r>
    </w:p>
    <w:p w14:paraId="29FE2036" w14:textId="435E7948" w:rsidR="00594D25" w:rsidRDefault="00406C9B" w:rsidP="00594D25">
      <w:pPr>
        <w:pStyle w:val="Heading1"/>
        <w:spacing w:before="0"/>
        <w:rPr>
          <w:rFonts w:ascii="Calibri" w:hAnsi="Calibri" w:cs="Calibri"/>
          <w:b/>
          <w:color w:val="1F497D" w:themeColor="text2"/>
          <w:sz w:val="30"/>
          <w:szCs w:val="30"/>
        </w:rPr>
      </w:pPr>
      <w:bookmarkStart w:id="0" w:name="_Toc43128834"/>
      <w:r w:rsidRPr="00594D25">
        <w:rPr>
          <w:rFonts w:ascii="Calibri" w:hAnsi="Calibri" w:cs="Calibri"/>
          <w:b/>
          <w:color w:val="1F497D" w:themeColor="text2"/>
          <w:sz w:val="30"/>
          <w:szCs w:val="30"/>
        </w:rPr>
        <w:lastRenderedPageBreak/>
        <w:t>SUBMISSION FOCUS</w:t>
      </w:r>
      <w:bookmarkEnd w:id="0"/>
    </w:p>
    <w:p w14:paraId="15269249" w14:textId="77777777" w:rsidR="00594D25" w:rsidRPr="00594D25" w:rsidRDefault="00594D25" w:rsidP="00594D25">
      <w:pPr>
        <w:spacing w:after="0"/>
      </w:pPr>
    </w:p>
    <w:p w14:paraId="03C6A5C2" w14:textId="7A87F23C" w:rsidR="00772296" w:rsidRDefault="00772296" w:rsidP="00453220">
      <w:pPr>
        <w:spacing w:after="0"/>
      </w:pPr>
      <w:r>
        <w:t xml:space="preserve">This submission </w:t>
      </w:r>
      <w:r w:rsidR="00D701AE">
        <w:t xml:space="preserve">discusses </w:t>
      </w:r>
      <w:r>
        <w:t xml:space="preserve">the importance of a balanced workforce in </w:t>
      </w:r>
      <w:r w:rsidR="00AC2E6A">
        <w:t xml:space="preserve">the </w:t>
      </w:r>
      <w:r>
        <w:t xml:space="preserve">development of innovative, productive economies and socially inclusive societies. </w:t>
      </w:r>
      <w:r w:rsidR="006E766C">
        <w:t xml:space="preserve">This submission focuses </w:t>
      </w:r>
      <w:r>
        <w:t xml:space="preserve">on the importance of the intermediate workforce. </w:t>
      </w:r>
      <w:r w:rsidR="00AC2E6A">
        <w:t xml:space="preserve">It argues that three </w:t>
      </w:r>
      <w:r>
        <w:t xml:space="preserve">education </w:t>
      </w:r>
      <w:r w:rsidR="00D701AE">
        <w:t xml:space="preserve">sectors </w:t>
      </w:r>
      <w:r>
        <w:t xml:space="preserve">(upper secondary, vocational and higher education) play complementary roles in skill </w:t>
      </w:r>
      <w:r w:rsidR="00800DC2">
        <w:t xml:space="preserve">formation and </w:t>
      </w:r>
      <w:r w:rsidR="006E766C">
        <w:t xml:space="preserve">development, </w:t>
      </w:r>
      <w:r>
        <w:t>whether in supporting students to enter into further education and</w:t>
      </w:r>
      <w:r w:rsidR="006E766C">
        <w:t>/</w:t>
      </w:r>
      <w:r>
        <w:t xml:space="preserve">or </w:t>
      </w:r>
      <w:r w:rsidR="00D701AE">
        <w:t xml:space="preserve">gain </w:t>
      </w:r>
      <w:r>
        <w:t xml:space="preserve">employment. </w:t>
      </w:r>
    </w:p>
    <w:p w14:paraId="56C6371F" w14:textId="77777777" w:rsidR="00453220" w:rsidRDefault="00453220" w:rsidP="00453220">
      <w:pPr>
        <w:spacing w:after="0"/>
      </w:pPr>
    </w:p>
    <w:p w14:paraId="5CBEAA60" w14:textId="35E96B4D" w:rsidR="006E766C" w:rsidRDefault="006E766C" w:rsidP="00772296">
      <w:r>
        <w:t xml:space="preserve">The education systems in OECD and EU countries understand the links between each </w:t>
      </w:r>
      <w:r w:rsidR="00AC2E6A">
        <w:t xml:space="preserve">of these </w:t>
      </w:r>
      <w:r>
        <w:t>sector</w:t>
      </w:r>
      <w:r w:rsidR="00AC2E6A">
        <w:t>s</w:t>
      </w:r>
      <w:r>
        <w:t xml:space="preserve"> and </w:t>
      </w:r>
      <w:r w:rsidR="004107E9">
        <w:t xml:space="preserve">the fact </w:t>
      </w:r>
      <w:r>
        <w:t xml:space="preserve">that each </w:t>
      </w:r>
      <w:r w:rsidR="00AC2E6A">
        <w:t xml:space="preserve">sector </w:t>
      </w:r>
      <w:r>
        <w:t xml:space="preserve">makes an equal contribution to a productive and well-balanced society. </w:t>
      </w:r>
    </w:p>
    <w:p w14:paraId="76D1AF88" w14:textId="667C24C8" w:rsidR="00772296" w:rsidRDefault="00AC2E6A" w:rsidP="00772296">
      <w:r>
        <w:t xml:space="preserve">In contrast, </w:t>
      </w:r>
      <w:r w:rsidR="00772296">
        <w:t xml:space="preserve">Australia’s educational arrangements are out of balance. We have failed to develop a framework that is interconnected </w:t>
      </w:r>
      <w:r w:rsidR="00800DC2">
        <w:t xml:space="preserve">and </w:t>
      </w:r>
      <w:r w:rsidR="00772296">
        <w:t xml:space="preserve">ensures that graduates at all levels are adaptable and have </w:t>
      </w:r>
      <w:r w:rsidR="00800DC2">
        <w:t xml:space="preserve">both </w:t>
      </w:r>
      <w:r w:rsidR="00772296">
        <w:t xml:space="preserve">enduring core skills </w:t>
      </w:r>
      <w:r w:rsidR="00800DC2">
        <w:t xml:space="preserve">and </w:t>
      </w:r>
      <w:r w:rsidR="00772296">
        <w:t>workplace competencies.</w:t>
      </w:r>
    </w:p>
    <w:p w14:paraId="6547ED1D" w14:textId="6AEE778C" w:rsidR="00772296" w:rsidRDefault="00800DC2" w:rsidP="00772296">
      <w:r>
        <w:t>It is apparent that w</w:t>
      </w:r>
      <w:r w:rsidR="00772296">
        <w:t xml:space="preserve">e </w:t>
      </w:r>
      <w:r w:rsidR="00AC2E6A">
        <w:t xml:space="preserve">cannot guarantee </w:t>
      </w:r>
      <w:r>
        <w:t xml:space="preserve">the availability of </w:t>
      </w:r>
      <w:r w:rsidR="00772296">
        <w:t>both applied and theoretically trained graduates</w:t>
      </w:r>
      <w:r>
        <w:t>.</w:t>
      </w:r>
      <w:r w:rsidR="00772296">
        <w:t xml:space="preserve"> Our VET system, </w:t>
      </w:r>
      <w:r w:rsidR="00AC2E6A">
        <w:t xml:space="preserve">which is </w:t>
      </w:r>
      <w:r w:rsidR="00772296">
        <w:t xml:space="preserve">so important to the development of </w:t>
      </w:r>
      <w:r w:rsidR="00AC2E6A">
        <w:t xml:space="preserve">graduates with </w:t>
      </w:r>
      <w:r w:rsidR="00772296">
        <w:t>applied skill</w:t>
      </w:r>
      <w:r w:rsidR="00AC2E6A">
        <w:t xml:space="preserve">s, </w:t>
      </w:r>
      <w:r w:rsidR="00772296">
        <w:t xml:space="preserve">has been truncated by </w:t>
      </w:r>
      <w:r w:rsidR="00F00F98">
        <w:t>artificial sector demarcations.</w:t>
      </w:r>
      <w:r w:rsidR="00772296">
        <w:t xml:space="preserve"> Our failure or unwillingness to understand the concept of complementariness has left us well behind the rest of the world in terms </w:t>
      </w:r>
      <w:r w:rsidR="00F127F3">
        <w:t>of skill development and</w:t>
      </w:r>
      <w:r w:rsidR="00772296">
        <w:t xml:space="preserve"> an integrated tertiary system.</w:t>
      </w:r>
    </w:p>
    <w:p w14:paraId="1360635B" w14:textId="407E313E" w:rsidR="00772296" w:rsidRDefault="00772296" w:rsidP="00772296">
      <w:r>
        <w:t xml:space="preserve">The key propositions </w:t>
      </w:r>
      <w:r w:rsidR="00AC2E6A">
        <w:t xml:space="preserve">of this submission </w:t>
      </w:r>
      <w:r>
        <w:t>are that:</w:t>
      </w:r>
    </w:p>
    <w:p w14:paraId="73D04A29" w14:textId="2C329DD5" w:rsidR="00772296" w:rsidRDefault="00453220" w:rsidP="00772296">
      <w:pPr>
        <w:pStyle w:val="ListParagraph"/>
        <w:numPr>
          <w:ilvl w:val="0"/>
          <w:numId w:val="16"/>
        </w:numPr>
      </w:pPr>
      <w:r>
        <w:t>w</w:t>
      </w:r>
      <w:r w:rsidR="00AC2E6A">
        <w:t xml:space="preserve">ithout an industry policy – and an industry policy that is integrated with educational policy </w:t>
      </w:r>
      <w:r w:rsidR="004107E9">
        <w:t>–</w:t>
      </w:r>
      <w:r w:rsidR="00AC2E6A">
        <w:t xml:space="preserve"> </w:t>
      </w:r>
      <w:r w:rsidR="00772296">
        <w:t>education can play only a minor role in developing a fit-for-purpose skills workforce</w:t>
      </w:r>
      <w:r w:rsidR="00AC2E6A">
        <w:t>.</w:t>
      </w:r>
      <w:r w:rsidR="00772296">
        <w:t xml:space="preserve"> </w:t>
      </w:r>
      <w:r>
        <w:t>Furthermore</w:t>
      </w:r>
      <w:r w:rsidR="00800DC2">
        <w:t>, a</w:t>
      </w:r>
      <w:r w:rsidR="00B723F9">
        <w:t xml:space="preserve">n </w:t>
      </w:r>
      <w:r w:rsidR="00F00F98">
        <w:t>effective i</w:t>
      </w:r>
      <w:r w:rsidR="00772296">
        <w:t xml:space="preserve">ndustry policy </w:t>
      </w:r>
      <w:r w:rsidR="00F00F98">
        <w:t>has to be underpinned by i</w:t>
      </w:r>
      <w:r w:rsidR="00772296">
        <w:t xml:space="preserve">mplementation plans. </w:t>
      </w:r>
      <w:r w:rsidR="00B723F9">
        <w:t xml:space="preserve">Because Australia doesn’t have an </w:t>
      </w:r>
      <w:r w:rsidR="00772296">
        <w:t>industry policy</w:t>
      </w:r>
      <w:r w:rsidR="004107E9">
        <w:t>,</w:t>
      </w:r>
      <w:r w:rsidR="00772296">
        <w:t xml:space="preserve"> </w:t>
      </w:r>
      <w:r w:rsidR="00B723F9">
        <w:t xml:space="preserve">the </w:t>
      </w:r>
      <w:r w:rsidR="00772296">
        <w:t xml:space="preserve">focus on </w:t>
      </w:r>
      <w:r w:rsidR="00B723F9">
        <w:t xml:space="preserve">making </w:t>
      </w:r>
      <w:r w:rsidR="00772296">
        <w:t xml:space="preserve">higher education a </w:t>
      </w:r>
      <w:r w:rsidR="00B723F9">
        <w:t xml:space="preserve">way </w:t>
      </w:r>
      <w:r w:rsidR="00772296">
        <w:t>to make the economy more productive has been a failure;</w:t>
      </w:r>
      <w:r w:rsidR="00772296">
        <w:br/>
      </w:r>
    </w:p>
    <w:p w14:paraId="18B9F844" w14:textId="5DACE06F" w:rsidR="00772296" w:rsidRDefault="00772296" w:rsidP="00772296">
      <w:pPr>
        <w:pStyle w:val="ListParagraph"/>
        <w:numPr>
          <w:ilvl w:val="0"/>
          <w:numId w:val="16"/>
        </w:numPr>
      </w:pPr>
      <w:r>
        <w:t>throughout the OECD and the EU</w:t>
      </w:r>
      <w:r w:rsidR="00B723F9">
        <w:t>,</w:t>
      </w:r>
      <w:r>
        <w:t xml:space="preserve"> successful economies have developed diversified education systems with strong links between upper secondary education and tertiary education. They have focused </w:t>
      </w:r>
      <w:r w:rsidR="00AC2E6A">
        <w:t xml:space="preserve">equally </w:t>
      </w:r>
      <w:r>
        <w:t xml:space="preserve">on the intermediate </w:t>
      </w:r>
      <w:r w:rsidR="00800DC2">
        <w:t xml:space="preserve">skilled workforce </w:t>
      </w:r>
      <w:r w:rsidR="00B723F9">
        <w:t xml:space="preserve">and the higher education </w:t>
      </w:r>
      <w:r>
        <w:t>skilled workforce</w:t>
      </w:r>
      <w:r w:rsidR="00B723F9">
        <w:t>.</w:t>
      </w:r>
      <w:r w:rsidR="00F00F98">
        <w:t xml:space="preserve"> The</w:t>
      </w:r>
      <w:r w:rsidR="00800DC2">
        <w:t xml:space="preserve">se countries </w:t>
      </w:r>
      <w:r w:rsidR="00F00F98">
        <w:t xml:space="preserve">have understood the importance of an integrated skills level in the workforce and </w:t>
      </w:r>
      <w:r w:rsidR="00800DC2">
        <w:t xml:space="preserve">have </w:t>
      </w:r>
      <w:r w:rsidR="00F00F98">
        <w:t>ensured that education supports this framework</w:t>
      </w:r>
      <w:r>
        <w:t>;</w:t>
      </w:r>
      <w:r>
        <w:br/>
      </w:r>
    </w:p>
    <w:p w14:paraId="3175F570" w14:textId="76BB8548" w:rsidR="00772296" w:rsidRDefault="00772296" w:rsidP="00772296">
      <w:pPr>
        <w:pStyle w:val="ListParagraph"/>
        <w:numPr>
          <w:ilvl w:val="0"/>
          <w:numId w:val="16"/>
        </w:numPr>
      </w:pPr>
      <w:r>
        <w:t xml:space="preserve">the curriculum used in vocational education is predicated on </w:t>
      </w:r>
      <w:r w:rsidR="00AC2E6A">
        <w:t xml:space="preserve">preparing people for </w:t>
      </w:r>
      <w:r>
        <w:t>specific jobs</w:t>
      </w:r>
      <w:r w:rsidR="00B723F9">
        <w:t xml:space="preserve">, which </w:t>
      </w:r>
      <w:r>
        <w:t>is not suited to a dynamic and diverse economy. Internationally</w:t>
      </w:r>
      <w:r w:rsidR="00B723F9">
        <w:t xml:space="preserve">, </w:t>
      </w:r>
      <w:r>
        <w:t xml:space="preserve">vocational education </w:t>
      </w:r>
      <w:r w:rsidR="00800DC2">
        <w:t xml:space="preserve">curriculum </w:t>
      </w:r>
      <w:r>
        <w:t xml:space="preserve">has at its core literacy, numeracy, and digital competence as well as occupationally related skills. </w:t>
      </w:r>
      <w:r w:rsidR="00B723F9">
        <w:t>At a</w:t>
      </w:r>
      <w:r>
        <w:t xml:space="preserve"> time when job security is uncertain and industry </w:t>
      </w:r>
      <w:r w:rsidR="00B723F9">
        <w:t xml:space="preserve">generally </w:t>
      </w:r>
      <w:r>
        <w:t xml:space="preserve">is unsure of the impact of technological change, a broad-based curricular underpinned by core skills that can be reasonably expected to endure should underpin </w:t>
      </w:r>
      <w:r w:rsidR="00800DC2">
        <w:t xml:space="preserve">all levels of VET </w:t>
      </w:r>
      <w:r>
        <w:t>curriculum;</w:t>
      </w:r>
      <w:r>
        <w:br/>
      </w:r>
    </w:p>
    <w:p w14:paraId="15558E06" w14:textId="1D58E17C" w:rsidR="00772296" w:rsidRDefault="00B723F9" w:rsidP="00F127F3">
      <w:pPr>
        <w:pStyle w:val="ListParagraph"/>
        <w:numPr>
          <w:ilvl w:val="0"/>
          <w:numId w:val="16"/>
        </w:numPr>
      </w:pPr>
      <w:r>
        <w:lastRenderedPageBreak/>
        <w:t xml:space="preserve">successful </w:t>
      </w:r>
      <w:r w:rsidR="00772296" w:rsidRPr="00BC5147">
        <w:t>vocational education systems have strong and direct pathways into higher education</w:t>
      </w:r>
      <w:r>
        <w:t xml:space="preserve">, which </w:t>
      </w:r>
      <w:r w:rsidR="00800DC2">
        <w:t xml:space="preserve">in turn </w:t>
      </w:r>
      <w:r>
        <w:t>should offer divers</w:t>
      </w:r>
      <w:r w:rsidR="00800DC2">
        <w:t xml:space="preserve">e </w:t>
      </w:r>
      <w:r w:rsidR="004107E9">
        <w:t>routes</w:t>
      </w:r>
      <w:r w:rsidR="00F00F98" w:rsidRPr="00BC5147">
        <w:t xml:space="preserve"> </w:t>
      </w:r>
      <w:r w:rsidR="00800DC2">
        <w:t xml:space="preserve">into </w:t>
      </w:r>
      <w:r w:rsidR="00772296" w:rsidRPr="00BC5147">
        <w:t xml:space="preserve">applied </w:t>
      </w:r>
      <w:r w:rsidR="00F00F98" w:rsidRPr="00BC5147">
        <w:t xml:space="preserve">universities and research universities. </w:t>
      </w:r>
      <w:r w:rsidR="00800DC2">
        <w:t>Yet d</w:t>
      </w:r>
      <w:r w:rsidR="00800DC2" w:rsidRPr="00BC5147">
        <w:t>iversity is not a feature of Australia’s university system.</w:t>
      </w:r>
      <w:r w:rsidR="00800DC2">
        <w:t xml:space="preserve"> Moreover, applied </w:t>
      </w:r>
      <w:r w:rsidR="00F00F98" w:rsidRPr="00BC5147">
        <w:t>universities have courses that a</w:t>
      </w:r>
      <w:r w:rsidR="00BC5147" w:rsidRPr="00BC5147">
        <w:t>re</w:t>
      </w:r>
      <w:r w:rsidR="00F00F98" w:rsidRPr="00BC5147">
        <w:t xml:space="preserve"> directly linked to lower level VET </w:t>
      </w:r>
      <w:r w:rsidR="00BC5147" w:rsidRPr="00BC5147">
        <w:t>qualifications</w:t>
      </w:r>
      <w:r w:rsidR="00F00F98" w:rsidRPr="00BC5147">
        <w:t>.</w:t>
      </w:r>
      <w:r w:rsidR="00F127F3">
        <w:t xml:space="preserve"> VET cannot continue to be a residual provider and focus only on entry-level qualifications. Economies that are focusing on high skills create VET systems that are relevant and offer reliable pathways to higher education.</w:t>
      </w:r>
    </w:p>
    <w:p w14:paraId="402EF694" w14:textId="3B54F9F7" w:rsidR="00453220" w:rsidRPr="00BC5147" w:rsidRDefault="00453220" w:rsidP="00453220">
      <w:pPr>
        <w:pStyle w:val="ListParagraph"/>
      </w:pPr>
    </w:p>
    <w:p w14:paraId="2640D0C7" w14:textId="5754E131" w:rsidR="004107E9" w:rsidRDefault="00F00F98" w:rsidP="00772296">
      <w:pPr>
        <w:pStyle w:val="ListParagraph"/>
        <w:numPr>
          <w:ilvl w:val="0"/>
          <w:numId w:val="16"/>
        </w:numPr>
      </w:pPr>
      <w:r>
        <w:t>i</w:t>
      </w:r>
      <w:r w:rsidR="00772296">
        <w:t>nternationally, the intermediate skills workforce consists of two levels:</w:t>
      </w:r>
      <w:r w:rsidR="00453220">
        <w:t xml:space="preserve"> </w:t>
      </w:r>
      <w:r w:rsidR="00772296">
        <w:t xml:space="preserve"> lower and upper. Both are vital for initial career entry, continuing learning, career progression and a productive economy;</w:t>
      </w:r>
      <w:r w:rsidR="004107E9">
        <w:t xml:space="preserve"> </w:t>
      </w:r>
    </w:p>
    <w:p w14:paraId="1F962A9A" w14:textId="77777777" w:rsidR="004107E9" w:rsidRDefault="004107E9" w:rsidP="00453220">
      <w:pPr>
        <w:pStyle w:val="ListParagraph"/>
      </w:pPr>
    </w:p>
    <w:p w14:paraId="0E3648D6" w14:textId="63C9BA40" w:rsidR="00772296" w:rsidRDefault="004107E9" w:rsidP="004107E9">
      <w:pPr>
        <w:pStyle w:val="ListParagraph"/>
        <w:numPr>
          <w:ilvl w:val="0"/>
          <w:numId w:val="16"/>
        </w:numPr>
      </w:pPr>
      <w:r>
        <w:t>an upper intermediate level workforce is vital to innovation diffusion and the successful adoption of</w:t>
      </w:r>
      <w:r w:rsidR="00453220">
        <w:t xml:space="preserve"> new technologies by industry. </w:t>
      </w:r>
      <w:r>
        <w:t>VET has neglected this area and it is therefore in decline;</w:t>
      </w:r>
      <w:r w:rsidR="00772296">
        <w:br/>
      </w:r>
    </w:p>
    <w:p w14:paraId="1251FB0C" w14:textId="15F7D0F4" w:rsidR="00772296" w:rsidRDefault="00772296" w:rsidP="000F0E1E">
      <w:pPr>
        <w:pStyle w:val="ListParagraph"/>
        <w:numPr>
          <w:ilvl w:val="0"/>
          <w:numId w:val="16"/>
        </w:numPr>
      </w:pPr>
      <w:r>
        <w:t>in the OECD upper secondary education compl</w:t>
      </w:r>
      <w:r w:rsidR="00B723F9">
        <w:t>e</w:t>
      </w:r>
      <w:r>
        <w:t xml:space="preserve">ments industry needs. </w:t>
      </w:r>
      <w:r w:rsidR="00800DC2">
        <w:t>This secondary education</w:t>
      </w:r>
      <w:r>
        <w:t xml:space="preserve"> </w:t>
      </w:r>
      <w:r w:rsidR="002E2D61">
        <w:t>has</w:t>
      </w:r>
      <w:r>
        <w:t xml:space="preserve"> </w:t>
      </w:r>
      <w:r w:rsidR="00B723F9">
        <w:t>two</w:t>
      </w:r>
      <w:r>
        <w:t xml:space="preserve"> tracks:</w:t>
      </w:r>
      <w:r w:rsidR="00453220">
        <w:t xml:space="preserve"> </w:t>
      </w:r>
      <w:r>
        <w:t xml:space="preserve"> an academic track </w:t>
      </w:r>
      <w:r w:rsidR="004107E9">
        <w:t xml:space="preserve">that </w:t>
      </w:r>
      <w:r>
        <w:t>stream</w:t>
      </w:r>
      <w:r w:rsidR="002E2D61">
        <w:t>s</w:t>
      </w:r>
      <w:r>
        <w:t xml:space="preserve"> students into universities </w:t>
      </w:r>
      <w:r w:rsidR="002E2D61">
        <w:t xml:space="preserve">while the </w:t>
      </w:r>
      <w:r>
        <w:t>professional/vocational track stream</w:t>
      </w:r>
      <w:r w:rsidR="002E2D61">
        <w:t>s</w:t>
      </w:r>
      <w:r>
        <w:t xml:space="preserve"> students into applied universities such as university colleges or into employment at the lower intermediate level</w:t>
      </w:r>
      <w:r w:rsidR="00F00F98">
        <w:t>. Victoria need</w:t>
      </w:r>
      <w:r w:rsidR="002E2D61">
        <w:t>s</w:t>
      </w:r>
      <w:r w:rsidR="00F00F98">
        <w:t xml:space="preserve"> to consider rest</w:t>
      </w:r>
      <w:r w:rsidR="00E06979">
        <w:t>ructuring</w:t>
      </w:r>
      <w:r w:rsidR="00F00F98">
        <w:t xml:space="preserve"> its upper secondary level to make it internationally competitive</w:t>
      </w:r>
      <w:r>
        <w:t>;</w:t>
      </w:r>
      <w:r>
        <w:br/>
      </w:r>
    </w:p>
    <w:p w14:paraId="6E18AE02" w14:textId="1A6EB3D7" w:rsidR="00772296" w:rsidRDefault="00772296" w:rsidP="00772296">
      <w:pPr>
        <w:pStyle w:val="ListParagraph"/>
        <w:numPr>
          <w:ilvl w:val="0"/>
          <w:numId w:val="16"/>
        </w:numPr>
      </w:pPr>
      <w:r>
        <w:t xml:space="preserve">there is strong evidence to suggest that growth industries in Australia will require </w:t>
      </w:r>
      <w:r w:rsidR="002E2D61">
        <w:t xml:space="preserve">large numbers of </w:t>
      </w:r>
      <w:r>
        <w:t xml:space="preserve">upper intermediate personnel </w:t>
      </w:r>
      <w:r w:rsidR="002E2D61">
        <w:t>in</w:t>
      </w:r>
      <w:r>
        <w:t xml:space="preserve"> the near future. A key focus in the redevelopment of Victoria’s VET system </w:t>
      </w:r>
      <w:r w:rsidR="002E2D61">
        <w:t xml:space="preserve">should </w:t>
      </w:r>
      <w:r w:rsidR="00800DC2">
        <w:t xml:space="preserve">start by </w:t>
      </w:r>
      <w:r>
        <w:t xml:space="preserve">reframing </w:t>
      </w:r>
      <w:r w:rsidR="002E2D61">
        <w:t xml:space="preserve">the </w:t>
      </w:r>
      <w:r>
        <w:t>paraprofessional curriculum in partnership with universities, VET institutions, government and industry;</w:t>
      </w:r>
      <w:r>
        <w:br/>
      </w:r>
    </w:p>
    <w:p w14:paraId="62ED442C" w14:textId="0A7B1860" w:rsidR="00B1145C" w:rsidRDefault="00BC5147" w:rsidP="00772296">
      <w:pPr>
        <w:pStyle w:val="ListParagraph"/>
        <w:numPr>
          <w:ilvl w:val="0"/>
          <w:numId w:val="16"/>
        </w:numPr>
      </w:pPr>
      <w:r>
        <w:t>a</w:t>
      </w:r>
      <w:r w:rsidR="00772296">
        <w:t xml:space="preserve"> diversified university system with a focus on applied learning directly linked to vocational qualifications is of great importance to the development of the workforce. Victoria </w:t>
      </w:r>
      <w:r w:rsidR="002E2D61">
        <w:t xml:space="preserve">should </w:t>
      </w:r>
      <w:r w:rsidR="00772296">
        <w:t>give serious consideration to the creation of a hub and spoke model for higher education</w:t>
      </w:r>
      <w:r w:rsidR="002E2D61">
        <w:t>. Creating two university colleges would complement</w:t>
      </w:r>
      <w:r w:rsidR="00772296">
        <w:t xml:space="preserve"> existing university provision</w:t>
      </w:r>
      <w:r w:rsidR="002E2D61">
        <w:t>.</w:t>
      </w:r>
      <w:r w:rsidR="00772296">
        <w:t xml:space="preserve"> An alternative arrangement is suggested for rural institutions.</w:t>
      </w:r>
    </w:p>
    <w:p w14:paraId="43435E07" w14:textId="0B913E3B" w:rsidR="00772296" w:rsidRDefault="00B1145C" w:rsidP="00B1145C">
      <w:r>
        <w:br w:type="page"/>
      </w:r>
    </w:p>
    <w:p w14:paraId="143490D1" w14:textId="09CA504B" w:rsidR="00403F1A" w:rsidRDefault="008C6857" w:rsidP="008C6857">
      <w:pPr>
        <w:pStyle w:val="Heading2"/>
        <w:spacing w:before="0"/>
        <w:rPr>
          <w:rFonts w:ascii="Calibri" w:hAnsi="Calibri" w:cs="Calibri"/>
          <w:b/>
          <w:sz w:val="28"/>
          <w:szCs w:val="28"/>
        </w:rPr>
      </w:pPr>
      <w:bookmarkStart w:id="1" w:name="_Toc43128835"/>
      <w:r w:rsidRPr="000A3DDA">
        <w:rPr>
          <w:rFonts w:ascii="Calibri" w:hAnsi="Calibri" w:cs="Calibri"/>
          <w:b/>
          <w:sz w:val="28"/>
          <w:szCs w:val="28"/>
        </w:rPr>
        <w:lastRenderedPageBreak/>
        <w:t>Link</w:t>
      </w:r>
      <w:r w:rsidR="000A3DDA">
        <w:rPr>
          <w:rFonts w:ascii="Calibri" w:hAnsi="Calibri" w:cs="Calibri"/>
          <w:b/>
          <w:sz w:val="28"/>
          <w:szCs w:val="28"/>
        </w:rPr>
        <w:t>s</w:t>
      </w:r>
      <w:r w:rsidR="00F127F3" w:rsidRPr="000A3DDA">
        <w:rPr>
          <w:rFonts w:ascii="Calibri" w:hAnsi="Calibri" w:cs="Calibri"/>
          <w:b/>
          <w:sz w:val="28"/>
          <w:szCs w:val="28"/>
        </w:rPr>
        <w:t xml:space="preserve"> between productivity and tertiary education</w:t>
      </w:r>
      <w:bookmarkEnd w:id="1"/>
    </w:p>
    <w:p w14:paraId="3FA463CA" w14:textId="77777777" w:rsidR="003B3F3C" w:rsidRPr="003B3F3C" w:rsidRDefault="003B3F3C" w:rsidP="008C6857">
      <w:pPr>
        <w:spacing w:after="0"/>
      </w:pPr>
    </w:p>
    <w:p w14:paraId="20950943" w14:textId="6F8882E0" w:rsidR="00403F1A" w:rsidRDefault="00403F1A" w:rsidP="008C6857">
      <w:pPr>
        <w:spacing w:after="0"/>
      </w:pPr>
      <w:r>
        <w:t xml:space="preserve">A central issue raised in </w:t>
      </w:r>
      <w:r w:rsidR="00D701AE">
        <w:t xml:space="preserve">this </w:t>
      </w:r>
      <w:r>
        <w:t xml:space="preserve">discussion document relates to the contribution </w:t>
      </w:r>
      <w:r w:rsidR="00D701AE">
        <w:t xml:space="preserve">that </w:t>
      </w:r>
      <w:r w:rsidR="003C707F">
        <w:t>post-secondary</w:t>
      </w:r>
      <w:r>
        <w:t xml:space="preserve"> education makes to productivity and occupational mobility</w:t>
      </w:r>
      <w:r w:rsidR="003C707F">
        <w:t>,</w:t>
      </w:r>
      <w:r w:rsidR="001D110F">
        <w:t xml:space="preserve"> </w:t>
      </w:r>
      <w:r w:rsidR="002E2D61">
        <w:t xml:space="preserve">particularly regarding </w:t>
      </w:r>
      <w:r w:rsidR="001D110F">
        <w:t xml:space="preserve">transitioning </w:t>
      </w:r>
      <w:r w:rsidR="002E2D61">
        <w:t>from low skill</w:t>
      </w:r>
      <w:r w:rsidR="004107E9">
        <w:t>ed</w:t>
      </w:r>
      <w:r w:rsidR="002E2D61">
        <w:t xml:space="preserve"> work </w:t>
      </w:r>
      <w:r w:rsidR="001D110F">
        <w:t xml:space="preserve">to intermediate skills. </w:t>
      </w:r>
      <w:r w:rsidR="002E2D61">
        <w:t>Since 2000, u</w:t>
      </w:r>
      <w:r w:rsidR="001D110F">
        <w:t xml:space="preserve">pper secondary and tertiary education </w:t>
      </w:r>
      <w:r w:rsidR="002E2D61">
        <w:t xml:space="preserve">in Australia </w:t>
      </w:r>
      <w:r w:rsidR="001D110F">
        <w:t xml:space="preserve">has been planned </w:t>
      </w:r>
      <w:r w:rsidR="002E2D61">
        <w:t xml:space="preserve">around </w:t>
      </w:r>
      <w:r w:rsidR="001D110F">
        <w:t>issues of productivity, transitioning from a manufacturing to a service economy</w:t>
      </w:r>
      <w:r w:rsidR="00604C0D">
        <w:t>,</w:t>
      </w:r>
      <w:r w:rsidR="001D110F">
        <w:t xml:space="preserve"> and ensuring that the appropriate skill mix</w:t>
      </w:r>
      <w:r w:rsidR="003C707F">
        <w:t>,</w:t>
      </w:r>
      <w:r w:rsidR="001D110F">
        <w:t xml:space="preserve"> in terms of effective</w:t>
      </w:r>
      <w:r w:rsidR="002E2D61">
        <w:t>ne</w:t>
      </w:r>
      <w:r w:rsidR="001D110F">
        <w:t>ss and efficiency</w:t>
      </w:r>
      <w:r w:rsidR="003C707F">
        <w:t>,</w:t>
      </w:r>
      <w:r w:rsidR="00EB7D91">
        <w:t xml:space="preserve"> were available to industry.</w:t>
      </w:r>
      <w:r w:rsidR="00F127F3">
        <w:t xml:space="preserve"> Increasing year 12 completions and uncapping access to university education underpinned our skills formation framework.</w:t>
      </w:r>
    </w:p>
    <w:p w14:paraId="17862F5B" w14:textId="77777777" w:rsidR="00B1145C" w:rsidRDefault="00B1145C" w:rsidP="001D110F"/>
    <w:p w14:paraId="109110C1" w14:textId="4A90291E" w:rsidR="001D110F" w:rsidRDefault="001D110F" w:rsidP="001D110F">
      <w:r>
        <w:t xml:space="preserve">This paper raises issues based on evidence </w:t>
      </w:r>
      <w:r w:rsidR="00453220">
        <w:t>about the</w:t>
      </w:r>
      <w:r>
        <w:t xml:space="preserve"> effectiveness of </w:t>
      </w:r>
      <w:r w:rsidR="00843D0B">
        <w:t xml:space="preserve">this </w:t>
      </w:r>
      <w:r>
        <w:t>framework and suggests that:</w:t>
      </w:r>
    </w:p>
    <w:p w14:paraId="283C858B" w14:textId="3C3ACE6F" w:rsidR="001D110F" w:rsidRDefault="001D110F" w:rsidP="001D110F">
      <w:pPr>
        <w:pStyle w:val="ListParagraph"/>
        <w:numPr>
          <w:ilvl w:val="0"/>
          <w:numId w:val="3"/>
        </w:numPr>
      </w:pPr>
      <w:r>
        <w:t xml:space="preserve">the heavy bias in public spending </w:t>
      </w:r>
      <w:r w:rsidR="00843D0B">
        <w:t>towards higher education at the expense of vocational education</w:t>
      </w:r>
      <w:r w:rsidR="00843D0B" w:rsidDel="002E2D61">
        <w:t xml:space="preserve"> </w:t>
      </w:r>
      <w:r>
        <w:t>for 18 to 24-year-olds has advantage</w:t>
      </w:r>
      <w:r w:rsidR="00294179">
        <w:t>d</w:t>
      </w:r>
      <w:r>
        <w:t xml:space="preserve"> some individuals</w:t>
      </w:r>
      <w:r w:rsidR="003C707F">
        <w:t>,</w:t>
      </w:r>
      <w:r>
        <w:t xml:space="preserve"> </w:t>
      </w:r>
      <w:r w:rsidR="00843D0B">
        <w:t xml:space="preserve">but it has resulted in </w:t>
      </w:r>
      <w:r>
        <w:t>low productivity</w:t>
      </w:r>
      <w:r w:rsidR="00294179">
        <w:t xml:space="preserve"> and anae</w:t>
      </w:r>
      <w:r w:rsidR="00604C0D">
        <w:t>mic growth; and</w:t>
      </w:r>
      <w:r w:rsidR="003C707F">
        <w:br/>
      </w:r>
    </w:p>
    <w:p w14:paraId="34DBFFA3" w14:textId="22CA0515" w:rsidR="001D110F" w:rsidRDefault="00604C0D" w:rsidP="001D110F">
      <w:pPr>
        <w:pStyle w:val="ListParagraph"/>
        <w:numPr>
          <w:ilvl w:val="0"/>
          <w:numId w:val="3"/>
        </w:numPr>
      </w:pPr>
      <w:r>
        <w:t xml:space="preserve">that </w:t>
      </w:r>
      <w:r w:rsidR="00294179">
        <w:t>weak government support for continuing education and training for adults over 25, compared to initial education training for new entrants into the workforce</w:t>
      </w:r>
      <w:r w:rsidR="003C707F">
        <w:t>,</w:t>
      </w:r>
      <w:r w:rsidR="00294179">
        <w:t xml:space="preserve"> h</w:t>
      </w:r>
      <w:r w:rsidR="003C707F">
        <w:t xml:space="preserve">as hindered </w:t>
      </w:r>
      <w:r w:rsidR="00843D0B">
        <w:t>an</w:t>
      </w:r>
      <w:r w:rsidR="003C707F">
        <w:t xml:space="preserve"> effective trans</w:t>
      </w:r>
      <w:r w:rsidR="00294179">
        <w:t>formation of the Australian economy.</w:t>
      </w:r>
    </w:p>
    <w:p w14:paraId="76EAD765" w14:textId="092D585A" w:rsidR="00294179" w:rsidRPr="001D6465" w:rsidRDefault="00294179" w:rsidP="00294179">
      <w:pPr>
        <w:rPr>
          <w:b/>
        </w:rPr>
      </w:pPr>
      <w:r>
        <w:t xml:space="preserve">The </w:t>
      </w:r>
      <w:r w:rsidR="00843D0B">
        <w:t xml:space="preserve">evidence is </w:t>
      </w:r>
      <w:r>
        <w:t>that young people face much higher unemployment rates</w:t>
      </w:r>
      <w:r w:rsidR="00216BF4">
        <w:t xml:space="preserve"> than </w:t>
      </w:r>
      <w:r>
        <w:t xml:space="preserve">older workers and </w:t>
      </w:r>
      <w:r w:rsidR="00843D0B">
        <w:t xml:space="preserve">that </w:t>
      </w:r>
      <w:r>
        <w:t xml:space="preserve">their comparative earnings have worsened over recent years. The jobs </w:t>
      </w:r>
      <w:r w:rsidR="00843D0B">
        <w:t xml:space="preserve">available for </w:t>
      </w:r>
      <w:r>
        <w:t>young people have tended to be of a lower quality. Despite many people leaving education</w:t>
      </w:r>
      <w:r w:rsidR="00AE3F4C">
        <w:t xml:space="preserve"> </w:t>
      </w:r>
      <w:r>
        <w:t>more highly qualified than ever</w:t>
      </w:r>
      <w:r w:rsidR="003C707F">
        <w:t>,</w:t>
      </w:r>
      <w:r w:rsidR="00216BF4">
        <w:t xml:space="preserve"> unemployment for young people is around </w:t>
      </w:r>
      <w:r w:rsidR="004A2512">
        <w:t>12.5</w:t>
      </w:r>
      <w:r w:rsidR="004107E9">
        <w:t xml:space="preserve"> per cent</w:t>
      </w:r>
      <w:r w:rsidR="00216BF4">
        <w:t xml:space="preserve"> (</w:t>
      </w:r>
      <w:r w:rsidR="004A2512">
        <w:t xml:space="preserve">above </w:t>
      </w:r>
      <w:r w:rsidR="003C707F">
        <w:t>the OECD average</w:t>
      </w:r>
      <w:r w:rsidR="00604C0D">
        <w:t>, (OECD</w:t>
      </w:r>
      <w:r w:rsidR="00E65996">
        <w:t xml:space="preserve"> </w:t>
      </w:r>
      <w:r w:rsidR="00E65996" w:rsidRPr="00613792">
        <w:t>(</w:t>
      </w:r>
      <w:r w:rsidR="00613792" w:rsidRPr="00613792">
        <w:t>2018</w:t>
      </w:r>
      <w:r w:rsidR="004A2512" w:rsidRPr="00613792">
        <w:t>)</w:t>
      </w:r>
      <w:r w:rsidR="00604C0D">
        <w:t>)</w:t>
      </w:r>
      <w:r w:rsidR="00F127F3">
        <w:t>.</w:t>
      </w:r>
    </w:p>
    <w:p w14:paraId="2A562CF6" w14:textId="229C0DDD" w:rsidR="00403F1A" w:rsidRDefault="00D4183F" w:rsidP="00D4183F">
      <w:r>
        <w:t xml:space="preserve">Australia’s tertiary education framework has evolved over </w:t>
      </w:r>
      <w:r w:rsidR="001D6465">
        <w:t>three</w:t>
      </w:r>
      <w:r>
        <w:t xml:space="preserve"> decades and was based on a set of principles/beliefs</w:t>
      </w:r>
      <w:r w:rsidR="00AE3F4C">
        <w:t xml:space="preserve"> including that: </w:t>
      </w:r>
    </w:p>
    <w:p w14:paraId="4707A92A" w14:textId="57CCA1B0" w:rsidR="001D6465" w:rsidRDefault="002E4117" w:rsidP="009D7D90">
      <w:pPr>
        <w:pStyle w:val="ListParagraph"/>
        <w:numPr>
          <w:ilvl w:val="0"/>
          <w:numId w:val="3"/>
        </w:numPr>
      </w:pPr>
      <w:r>
        <w:t xml:space="preserve">raising the school leaving age </w:t>
      </w:r>
      <w:r w:rsidR="00AE3F4C">
        <w:t>and maintaining an</w:t>
      </w:r>
      <w:r>
        <w:t xml:space="preserve"> academic curriculum</w:t>
      </w:r>
      <w:r w:rsidR="00196957">
        <w:t xml:space="preserve"> </w:t>
      </w:r>
      <w:r w:rsidR="00ED1F4E">
        <w:t xml:space="preserve">would </w:t>
      </w:r>
      <w:r w:rsidR="00196957">
        <w:t>le</w:t>
      </w:r>
      <w:r w:rsidR="00ED1F4E">
        <w:t xml:space="preserve">ad </w:t>
      </w:r>
      <w:r w:rsidR="00196957">
        <w:t xml:space="preserve">to an increase in year 12 completions and </w:t>
      </w:r>
      <w:r w:rsidR="00D567A2">
        <w:t>stronger demand</w:t>
      </w:r>
      <w:r w:rsidR="00196957">
        <w:t xml:space="preserve"> for higher education</w:t>
      </w:r>
      <w:r w:rsidR="00CB5A8C">
        <w:t>,</w:t>
      </w:r>
      <w:r w:rsidR="00D3751F">
        <w:t xml:space="preserve"> </w:t>
      </w:r>
      <w:r w:rsidR="00CB5A8C">
        <w:t>as well as provide non-</w:t>
      </w:r>
      <w:r w:rsidR="00ED1F4E">
        <w:t xml:space="preserve">university entrants </w:t>
      </w:r>
      <w:r w:rsidR="004A2512">
        <w:t>with the skills to enter satisfying careers.</w:t>
      </w:r>
      <w:r w:rsidR="001D6465">
        <w:t xml:space="preserve"> </w:t>
      </w:r>
      <w:r w:rsidR="00762DFE">
        <w:br/>
      </w:r>
      <w:r w:rsidR="00762DFE">
        <w:br/>
      </w:r>
      <w:r w:rsidR="001D6465">
        <w:t>In Australia</w:t>
      </w:r>
      <w:r w:rsidR="00CB5A8C">
        <w:t>,</w:t>
      </w:r>
      <w:r w:rsidR="001D6465">
        <w:t xml:space="preserve"> the purpose of education is broadly described in the so-called Melbourne Declaration (Ministerial Council on Education, Employment, Training and Youth Affairs. Melbourne Declaration on Educational Goals for Young Australians (2008)), which is an agreed statement on the purpose of education. The Melbourne Declaration has two major goals (Ministerial Council on Education, Employment, Training and Youth Affairs, at p6):</w:t>
      </w:r>
    </w:p>
    <w:p w14:paraId="0BF19B42" w14:textId="7D05F9D9" w:rsidR="001D6465" w:rsidRPr="00CB5A8C" w:rsidRDefault="00CB5A8C" w:rsidP="001D6465">
      <w:pPr>
        <w:pStyle w:val="trt0xe"/>
        <w:numPr>
          <w:ilvl w:val="0"/>
          <w:numId w:val="10"/>
        </w:numPr>
        <w:shd w:val="clear" w:color="auto" w:fill="FFFFFF"/>
        <w:spacing w:before="0" w:beforeAutospacing="0" w:after="60" w:afterAutospacing="0"/>
        <w:rPr>
          <w:rFonts w:asciiTheme="minorHAnsi" w:hAnsiTheme="minorHAnsi" w:cstheme="majorHAnsi"/>
          <w:color w:val="222222"/>
          <w:sz w:val="22"/>
          <w:szCs w:val="22"/>
        </w:rPr>
      </w:pPr>
      <w:r>
        <w:rPr>
          <w:rFonts w:asciiTheme="minorHAnsi" w:hAnsiTheme="minorHAnsi" w:cstheme="majorHAnsi"/>
          <w:color w:val="222222"/>
          <w:sz w:val="22"/>
          <w:szCs w:val="22"/>
        </w:rPr>
        <w:t>t</w:t>
      </w:r>
      <w:r w:rsidR="001D6465" w:rsidRPr="00CB5A8C">
        <w:rPr>
          <w:rFonts w:asciiTheme="minorHAnsi" w:hAnsiTheme="minorHAnsi" w:cstheme="majorHAnsi"/>
          <w:color w:val="222222"/>
          <w:sz w:val="22"/>
          <w:szCs w:val="22"/>
        </w:rPr>
        <w:t>he promotion of equity and excellence;</w:t>
      </w:r>
      <w:r w:rsidR="007C21DA">
        <w:rPr>
          <w:rFonts w:asciiTheme="minorHAnsi" w:hAnsiTheme="minorHAnsi" w:cstheme="majorHAnsi"/>
          <w:color w:val="222222"/>
          <w:sz w:val="22"/>
          <w:szCs w:val="22"/>
        </w:rPr>
        <w:t xml:space="preserve"> and</w:t>
      </w:r>
      <w:r w:rsidR="00613792">
        <w:rPr>
          <w:rFonts w:asciiTheme="minorHAnsi" w:hAnsiTheme="minorHAnsi" w:cstheme="majorHAnsi"/>
          <w:color w:val="222222"/>
          <w:sz w:val="22"/>
          <w:szCs w:val="22"/>
        </w:rPr>
        <w:br/>
      </w:r>
    </w:p>
    <w:p w14:paraId="4EDDF523" w14:textId="77777777" w:rsidR="001D6465" w:rsidRPr="00CB5A8C" w:rsidRDefault="00CB5A8C" w:rsidP="001D6465">
      <w:pPr>
        <w:pStyle w:val="ListParagraph"/>
        <w:numPr>
          <w:ilvl w:val="0"/>
          <w:numId w:val="10"/>
        </w:numPr>
        <w:pBdr>
          <w:top w:val="nil"/>
          <w:left w:val="nil"/>
          <w:bottom w:val="nil"/>
          <w:right w:val="nil"/>
          <w:between w:val="nil"/>
        </w:pBdr>
      </w:pPr>
      <w:r>
        <w:rPr>
          <w:color w:val="000000"/>
        </w:rPr>
        <w:t>t</w:t>
      </w:r>
      <w:r w:rsidR="001D6465" w:rsidRPr="00CB5A8C">
        <w:rPr>
          <w:color w:val="000000"/>
        </w:rPr>
        <w:t>hat all young Australians become successful learners, confident and creative individuals, and active and informed citizens.</w:t>
      </w:r>
    </w:p>
    <w:p w14:paraId="34122877" w14:textId="161CC895" w:rsidR="001D6465" w:rsidRDefault="00B1145C" w:rsidP="001D6465">
      <w:pPr>
        <w:ind w:left="720"/>
      </w:pPr>
      <w:r>
        <w:lastRenderedPageBreak/>
        <w:br/>
      </w:r>
      <w:r w:rsidR="001D6465">
        <w:t>Two characteristics of successful learners are</w:t>
      </w:r>
      <w:r w:rsidR="00843D0B">
        <w:t xml:space="preserve"> that</w:t>
      </w:r>
      <w:r w:rsidR="001D6465">
        <w:t>:</w:t>
      </w:r>
    </w:p>
    <w:p w14:paraId="37A73486" w14:textId="6E870985" w:rsidR="001D6465" w:rsidRDefault="00CB5A8C" w:rsidP="001D6465">
      <w:pPr>
        <w:pStyle w:val="ListParagraph"/>
        <w:numPr>
          <w:ilvl w:val="0"/>
          <w:numId w:val="11"/>
        </w:numPr>
        <w:pBdr>
          <w:top w:val="nil"/>
          <w:left w:val="nil"/>
          <w:bottom w:val="nil"/>
          <w:right w:val="nil"/>
          <w:between w:val="nil"/>
        </w:pBdr>
        <w:spacing w:after="0"/>
      </w:pPr>
      <w:r>
        <w:rPr>
          <w:color w:val="000000"/>
        </w:rPr>
        <w:t>t</w:t>
      </w:r>
      <w:r w:rsidR="001D6465" w:rsidRPr="001D6465">
        <w:rPr>
          <w:color w:val="000000"/>
        </w:rPr>
        <w:t>hey have skills in literacy and numeracy and are digitally competent;</w:t>
      </w:r>
      <w:r w:rsidR="007C21DA">
        <w:rPr>
          <w:color w:val="000000"/>
        </w:rPr>
        <w:t xml:space="preserve"> and</w:t>
      </w:r>
      <w:r w:rsidR="00613792">
        <w:rPr>
          <w:color w:val="000000"/>
        </w:rPr>
        <w:br/>
      </w:r>
    </w:p>
    <w:p w14:paraId="2496C39C" w14:textId="4D852774" w:rsidR="001D6465" w:rsidRDefault="00CB5A8C" w:rsidP="001D6465">
      <w:pPr>
        <w:pStyle w:val="ListParagraph"/>
        <w:numPr>
          <w:ilvl w:val="0"/>
          <w:numId w:val="11"/>
        </w:numPr>
        <w:pBdr>
          <w:top w:val="nil"/>
          <w:left w:val="nil"/>
          <w:bottom w:val="nil"/>
          <w:right w:val="nil"/>
          <w:between w:val="nil"/>
        </w:pBdr>
      </w:pPr>
      <w:r>
        <w:rPr>
          <w:color w:val="000000"/>
        </w:rPr>
        <w:t>t</w:t>
      </w:r>
      <w:r w:rsidR="001D6465" w:rsidRPr="001D6465">
        <w:rPr>
          <w:color w:val="000000"/>
        </w:rPr>
        <w:t>hey have access to pathways towards continued success in further educ</w:t>
      </w:r>
      <w:r>
        <w:rPr>
          <w:color w:val="000000"/>
        </w:rPr>
        <w:t>ation</w:t>
      </w:r>
      <w:r w:rsidR="001D6465" w:rsidRPr="001D6465">
        <w:rPr>
          <w:color w:val="000000"/>
        </w:rPr>
        <w:t xml:space="preserve"> in training or employment and </w:t>
      </w:r>
      <w:r w:rsidR="004107E9">
        <w:rPr>
          <w:color w:val="000000"/>
        </w:rPr>
        <w:t xml:space="preserve">can </w:t>
      </w:r>
      <w:r w:rsidR="001D6465" w:rsidRPr="001D6465">
        <w:rPr>
          <w:color w:val="000000"/>
        </w:rPr>
        <w:t>acquire the skills to make informal learning and employment decisions throughout their lives.</w:t>
      </w:r>
    </w:p>
    <w:p w14:paraId="46DB03B9" w14:textId="77777777" w:rsidR="001D6465" w:rsidRDefault="001D6465" w:rsidP="001D6465">
      <w:pPr>
        <w:pStyle w:val="ListParagraph"/>
      </w:pPr>
    </w:p>
    <w:p w14:paraId="5B2AB80E" w14:textId="396B58A5" w:rsidR="00D3751F" w:rsidRDefault="00ED1F4E" w:rsidP="002741E0">
      <w:pPr>
        <w:pStyle w:val="ListParagraph"/>
        <w:numPr>
          <w:ilvl w:val="0"/>
          <w:numId w:val="3"/>
        </w:numPr>
      </w:pPr>
      <w:r>
        <w:t xml:space="preserve">by uncapping </w:t>
      </w:r>
      <w:r w:rsidR="00843D0B">
        <w:t xml:space="preserve">undergraduate </w:t>
      </w:r>
      <w:r>
        <w:t xml:space="preserve">places </w:t>
      </w:r>
      <w:r w:rsidR="00843D0B">
        <w:t xml:space="preserve">at </w:t>
      </w:r>
      <w:r>
        <w:t>universities</w:t>
      </w:r>
      <w:r w:rsidR="00604C0D">
        <w:t>,</w:t>
      </w:r>
      <w:r w:rsidR="001D6465">
        <w:t xml:space="preserve"> Australia’s </w:t>
      </w:r>
      <w:r w:rsidR="00D4183F">
        <w:t xml:space="preserve">economic </w:t>
      </w:r>
      <w:r w:rsidR="002E4117">
        <w:t xml:space="preserve">productivity </w:t>
      </w:r>
      <w:r w:rsidR="001D6465">
        <w:t>would increase</w:t>
      </w:r>
      <w:r w:rsidR="00C66401">
        <w:t>;</w:t>
      </w:r>
      <w:r w:rsidR="001D6465">
        <w:br/>
      </w:r>
    </w:p>
    <w:p w14:paraId="10E3E7DA" w14:textId="66348855" w:rsidR="00D3751F" w:rsidRDefault="00F466B1" w:rsidP="002741E0">
      <w:pPr>
        <w:pStyle w:val="ListParagraph"/>
        <w:numPr>
          <w:ilvl w:val="0"/>
          <w:numId w:val="3"/>
        </w:numPr>
      </w:pPr>
      <w:r>
        <w:t xml:space="preserve">there was a strong unmet demand </w:t>
      </w:r>
      <w:r w:rsidR="00843D0B">
        <w:t>by</w:t>
      </w:r>
      <w:r>
        <w:t xml:space="preserve"> Australian industry for graduates</w:t>
      </w:r>
      <w:r w:rsidR="00C66401">
        <w:t xml:space="preserve"> irrespective of discipline;</w:t>
      </w:r>
      <w:r w:rsidR="001D6465">
        <w:br/>
      </w:r>
    </w:p>
    <w:p w14:paraId="124245DA" w14:textId="21913202" w:rsidR="002E4117" w:rsidRDefault="00C66401" w:rsidP="002741E0">
      <w:pPr>
        <w:pStyle w:val="ListParagraph"/>
        <w:numPr>
          <w:ilvl w:val="0"/>
          <w:numId w:val="3"/>
        </w:numPr>
      </w:pPr>
      <w:r>
        <w:t>u</w:t>
      </w:r>
      <w:r w:rsidR="00D3751F">
        <w:t>ncapping undergraduate places would enable disadvantaged g</w:t>
      </w:r>
      <w:r w:rsidR="00604C0D">
        <w:t xml:space="preserve">roups to enter universities and, </w:t>
      </w:r>
      <w:r w:rsidR="00D3751F">
        <w:t>on graduation</w:t>
      </w:r>
      <w:r w:rsidR="00604C0D">
        <w:t>,</w:t>
      </w:r>
      <w:r w:rsidR="00D3751F">
        <w:t xml:space="preserve"> </w:t>
      </w:r>
      <w:r w:rsidR="002E4117">
        <w:t>gain access to</w:t>
      </w:r>
      <w:r w:rsidR="00F466B1">
        <w:t xml:space="preserve"> lucrative, prestigious and </w:t>
      </w:r>
      <w:r w:rsidR="002E4117">
        <w:t>better paid employment.</w:t>
      </w:r>
      <w:r w:rsidR="00F466B1">
        <w:t xml:space="preserve"> This</w:t>
      </w:r>
      <w:r>
        <w:t>,</w:t>
      </w:r>
      <w:r w:rsidR="00F466B1">
        <w:t xml:space="preserve"> in turn</w:t>
      </w:r>
      <w:r>
        <w:t>,</w:t>
      </w:r>
      <w:r w:rsidR="00F466B1">
        <w:t xml:space="preserve"> would lead to </w:t>
      </w:r>
      <w:r w:rsidR="001D6465">
        <w:t>a more inclusive Australia</w:t>
      </w:r>
      <w:r w:rsidR="00CB5A8C">
        <w:t>;</w:t>
      </w:r>
      <w:r>
        <w:br/>
      </w:r>
      <w:r>
        <w:br/>
      </w:r>
      <w:r w:rsidR="00843D0B">
        <w:t>T</w:t>
      </w:r>
      <w:r w:rsidR="00762DFE">
        <w:t xml:space="preserve">he </w:t>
      </w:r>
      <w:r w:rsidR="00CB5A8C">
        <w:t>Bradley</w:t>
      </w:r>
      <w:r w:rsidR="00762DFE">
        <w:t xml:space="preserve"> Review </w:t>
      </w:r>
      <w:r w:rsidR="00CB5A8C">
        <w:t>argued</w:t>
      </w:r>
      <w:r>
        <w:t xml:space="preserve"> </w:t>
      </w:r>
      <w:r w:rsidR="00843D0B">
        <w:t xml:space="preserve">that by implementing this policy </w:t>
      </w:r>
      <w:r>
        <w:t xml:space="preserve">Australia would not </w:t>
      </w:r>
      <w:r w:rsidR="00CB5A8C">
        <w:t>fall behind the rest of the world</w:t>
      </w:r>
      <w:r>
        <w:t xml:space="preserve"> in terms of </w:t>
      </w:r>
      <w:r w:rsidR="004107E9">
        <w:t xml:space="preserve">the </w:t>
      </w:r>
      <w:r>
        <w:t>graduate supply deemed essential to the country’s productivity</w:t>
      </w:r>
      <w:r w:rsidR="00CB5A8C">
        <w:t>,</w:t>
      </w:r>
      <w:r>
        <w:t xml:space="preserve"> it would create a more diverse student group and </w:t>
      </w:r>
      <w:r w:rsidR="00843D0B">
        <w:t xml:space="preserve">it would </w:t>
      </w:r>
      <w:r>
        <w:t xml:space="preserve">provide a stepladder of opportunity to students who had previously been denied access to higher education (Bradley </w:t>
      </w:r>
      <w:r>
        <w:rPr>
          <w:i/>
        </w:rPr>
        <w:t>et al</w:t>
      </w:r>
      <w:r>
        <w:t>,</w:t>
      </w:r>
      <w:r w:rsidR="00604C0D">
        <w:t xml:space="preserve"> 2</w:t>
      </w:r>
      <w:r>
        <w:t>008</w:t>
      </w:r>
      <w:r w:rsidR="00604C0D">
        <w:t>)</w:t>
      </w:r>
      <w:r>
        <w:t>;</w:t>
      </w:r>
      <w:r w:rsidR="001D6465">
        <w:br/>
      </w:r>
    </w:p>
    <w:p w14:paraId="137E83C1" w14:textId="67A4ADA4" w:rsidR="00C66401" w:rsidRDefault="00D3751F" w:rsidP="002741E0">
      <w:pPr>
        <w:pStyle w:val="ListParagraph"/>
        <w:numPr>
          <w:ilvl w:val="0"/>
          <w:numId w:val="3"/>
        </w:numPr>
      </w:pPr>
      <w:r>
        <w:t>the shift to a technology infused service economy require</w:t>
      </w:r>
      <w:r w:rsidR="00C66401">
        <w:t xml:space="preserve">d an </w:t>
      </w:r>
      <w:r>
        <w:t>adaptable, flexible and innovative workforce</w:t>
      </w:r>
      <w:r w:rsidR="00604C0D">
        <w:t xml:space="preserve">, with </w:t>
      </w:r>
      <w:r>
        <w:t>graduates informed by cutting edge research</w:t>
      </w:r>
      <w:r w:rsidR="00C66401">
        <w:t xml:space="preserve"> who</w:t>
      </w:r>
      <w:r>
        <w:t xml:space="preserve"> were capable of coping with the disruption associated with a changing economy </w:t>
      </w:r>
      <w:r w:rsidR="00AE3F4C">
        <w:t>and</w:t>
      </w:r>
      <w:r>
        <w:t xml:space="preserve"> </w:t>
      </w:r>
      <w:r w:rsidR="00AE3F4C">
        <w:t>unpredictable</w:t>
      </w:r>
      <w:r>
        <w:t xml:space="preserve"> workforce demands</w:t>
      </w:r>
      <w:r w:rsidR="00E76F10">
        <w:t>.</w:t>
      </w:r>
      <w:r w:rsidR="00C66401">
        <w:br/>
      </w:r>
      <w:r w:rsidR="00C66401">
        <w:br/>
      </w:r>
      <w:r w:rsidR="00B1145C">
        <w:t>Bradley</w:t>
      </w:r>
      <w:r w:rsidR="00C66401">
        <w:t xml:space="preserve"> argued that </w:t>
      </w:r>
      <w:r w:rsidR="007C21DA">
        <w:t xml:space="preserve">the </w:t>
      </w:r>
      <w:r w:rsidR="00C66401">
        <w:t xml:space="preserve">international consensus </w:t>
      </w:r>
      <w:r w:rsidR="007C21DA">
        <w:t xml:space="preserve">was </w:t>
      </w:r>
      <w:r w:rsidR="00C66401">
        <w:t xml:space="preserve">that the reach, quality and performance of </w:t>
      </w:r>
      <w:r w:rsidR="007C21DA">
        <w:t xml:space="preserve">a </w:t>
      </w:r>
      <w:r w:rsidR="00C66401">
        <w:t xml:space="preserve">nation’s higher education system was a key determinant of its economic and social progress. It further argued that as the world became more interconnected and the global market for skills and innovation developed further, it would be crucial for Australia to have enough highly skilled people who were able to adapt to the uncertainties of a rapidly changing future (Bradley </w:t>
      </w:r>
      <w:r w:rsidR="00C66401" w:rsidRPr="00C66401">
        <w:rPr>
          <w:i/>
        </w:rPr>
        <w:t>et al</w:t>
      </w:r>
      <w:r w:rsidR="00C66401">
        <w:t xml:space="preserve">, </w:t>
      </w:r>
      <w:r w:rsidR="00C66401" w:rsidRPr="00C66401">
        <w:t>2008</w:t>
      </w:r>
      <w:r w:rsidR="00604C0D">
        <w:t>)</w:t>
      </w:r>
      <w:r w:rsidR="00E76F10">
        <w:t>;</w:t>
      </w:r>
    </w:p>
    <w:p w14:paraId="7791487E" w14:textId="77777777" w:rsidR="00D3751F" w:rsidRDefault="00D3751F" w:rsidP="002741E0">
      <w:pPr>
        <w:pStyle w:val="ListParagraph"/>
      </w:pPr>
    </w:p>
    <w:p w14:paraId="1B97119F" w14:textId="36DE9777" w:rsidR="00D3751F" w:rsidRDefault="00D3751F" w:rsidP="002741E0">
      <w:pPr>
        <w:pStyle w:val="ListParagraph"/>
        <w:numPr>
          <w:ilvl w:val="0"/>
          <w:numId w:val="3"/>
        </w:numPr>
      </w:pPr>
      <w:r>
        <w:t xml:space="preserve">vocational education was important </w:t>
      </w:r>
      <w:r w:rsidR="00843D0B">
        <w:t xml:space="preserve">as </w:t>
      </w:r>
      <w:r>
        <w:t xml:space="preserve">it would provide employees with </w:t>
      </w:r>
      <w:r w:rsidR="00FF4242">
        <w:t xml:space="preserve">initial employment </w:t>
      </w:r>
      <w:r>
        <w:t>skills (competencies)</w:t>
      </w:r>
      <w:r w:rsidR="00C66401">
        <w:t xml:space="preserve"> </w:t>
      </w:r>
      <w:r>
        <w:t>that could be upgraded relatively easily on the job</w:t>
      </w:r>
      <w:r w:rsidR="00C66401">
        <w:t>;</w:t>
      </w:r>
      <w:r w:rsidR="00C66401">
        <w:br/>
      </w:r>
    </w:p>
    <w:p w14:paraId="0D8BC061" w14:textId="6ACE3036" w:rsidR="00FF4242" w:rsidRDefault="00FF4242" w:rsidP="002741E0">
      <w:pPr>
        <w:pStyle w:val="ListParagraph"/>
        <w:numPr>
          <w:ilvl w:val="0"/>
          <w:numId w:val="3"/>
        </w:numPr>
      </w:pPr>
      <w:r>
        <w:t>VET graduates would be best served by being trained in competencies that made them work ready</w:t>
      </w:r>
      <w:r w:rsidR="00C000E4">
        <w:t>.</w:t>
      </w:r>
      <w:r w:rsidR="00C000E4">
        <w:br/>
      </w:r>
      <w:r w:rsidR="00C000E4">
        <w:br/>
      </w:r>
      <w:r w:rsidR="00C000E4" w:rsidRPr="00CE758B">
        <w:t xml:space="preserve">Schubert </w:t>
      </w:r>
      <w:r w:rsidR="00707B09" w:rsidRPr="00CE758B">
        <w:t>s</w:t>
      </w:r>
      <w:r w:rsidR="00707B09">
        <w:t>tates</w:t>
      </w:r>
      <w:r w:rsidR="00C000E4">
        <w:t xml:space="preserve"> that training package qualifications and competencies have become</w:t>
      </w:r>
      <w:r w:rsidR="005D69A2">
        <w:t>,</w:t>
      </w:r>
      <w:r w:rsidR="00C000E4">
        <w:t xml:space="preserve"> by design</w:t>
      </w:r>
      <w:r w:rsidR="005D69A2">
        <w:t>, granular</w:t>
      </w:r>
      <w:r w:rsidR="00C000E4">
        <w:t xml:space="preserve"> and narrowly defined in terms of tasks and job roles. </w:t>
      </w:r>
      <w:r w:rsidR="00B33FE1">
        <w:t xml:space="preserve">(Schubert, 2018) </w:t>
      </w:r>
      <w:r w:rsidR="00C000E4">
        <w:t xml:space="preserve">The </w:t>
      </w:r>
      <w:r w:rsidR="00843D0B">
        <w:lastRenderedPageBreak/>
        <w:t xml:space="preserve">focus on </w:t>
      </w:r>
      <w:r w:rsidR="00C000E4">
        <w:t>narrow and very specific outcome</w:t>
      </w:r>
      <w:r w:rsidR="00843D0B">
        <w:t>s</w:t>
      </w:r>
      <w:r w:rsidR="004107E9">
        <w:t xml:space="preserve"> </w:t>
      </w:r>
      <w:r w:rsidR="00C000E4">
        <w:t xml:space="preserve">significantly limits </w:t>
      </w:r>
      <w:r w:rsidR="00843D0B">
        <w:t xml:space="preserve">workers’ </w:t>
      </w:r>
      <w:r w:rsidR="00C000E4">
        <w:t>ability to move between occupations and to then upskill</w:t>
      </w:r>
      <w:r w:rsidR="00843D0B">
        <w:t xml:space="preserve">. Yet </w:t>
      </w:r>
      <w:r w:rsidR="00C000E4">
        <w:t xml:space="preserve">the evidence </w:t>
      </w:r>
      <w:r w:rsidR="00843D0B">
        <w:t xml:space="preserve">clearly </w:t>
      </w:r>
      <w:r w:rsidR="00C000E4">
        <w:t>points to an increasing requirement for workers to be able to move between employers, and to take on diverse roles within their work</w:t>
      </w:r>
      <w:r w:rsidR="00CE758B">
        <w:t>ing life</w:t>
      </w:r>
      <w:r w:rsidR="00D1626B">
        <w:t>;</w:t>
      </w:r>
    </w:p>
    <w:p w14:paraId="456004E2" w14:textId="77777777" w:rsidR="00B33FE1" w:rsidRDefault="00B33FE1" w:rsidP="002741E0">
      <w:pPr>
        <w:pStyle w:val="ListParagraph"/>
      </w:pPr>
    </w:p>
    <w:p w14:paraId="0FA81C0F" w14:textId="456D338B" w:rsidR="00D3751F" w:rsidRDefault="00FF4242" w:rsidP="002741E0">
      <w:pPr>
        <w:pStyle w:val="ListParagraph"/>
        <w:numPr>
          <w:ilvl w:val="0"/>
          <w:numId w:val="3"/>
        </w:numPr>
      </w:pPr>
      <w:r>
        <w:t xml:space="preserve">VET would become more responsive to the </w:t>
      </w:r>
      <w:r w:rsidR="00AE3F4C">
        <w:t xml:space="preserve">educational </w:t>
      </w:r>
      <w:r>
        <w:t xml:space="preserve">requirements of a service economy </w:t>
      </w:r>
      <w:r w:rsidR="00AE3F4C">
        <w:t xml:space="preserve">if </w:t>
      </w:r>
      <w:r w:rsidR="00843D0B">
        <w:t xml:space="preserve">it </w:t>
      </w:r>
      <w:r w:rsidR="00C000E4">
        <w:t xml:space="preserve">were </w:t>
      </w:r>
      <w:r>
        <w:t>open</w:t>
      </w:r>
      <w:r w:rsidR="00FF1DF0">
        <w:t>ed</w:t>
      </w:r>
      <w:r>
        <w:t xml:space="preserve"> up </w:t>
      </w:r>
      <w:r w:rsidR="00FF1DF0">
        <w:t xml:space="preserve">to </w:t>
      </w:r>
      <w:r>
        <w:t>competition where nimble efficient private providers competed against the public sector</w:t>
      </w:r>
      <w:r w:rsidR="00D1626B">
        <w:t>;</w:t>
      </w:r>
      <w:r>
        <w:t xml:space="preserve"> </w:t>
      </w:r>
      <w:r w:rsidR="00D1626B">
        <w:br/>
      </w:r>
    </w:p>
    <w:p w14:paraId="3F4929A4" w14:textId="0563D819" w:rsidR="00B829D3" w:rsidRDefault="00B829D3" w:rsidP="00F10442">
      <w:pPr>
        <w:pStyle w:val="ListParagraph"/>
        <w:numPr>
          <w:ilvl w:val="0"/>
          <w:numId w:val="3"/>
        </w:numPr>
        <w:spacing w:after="0"/>
      </w:pPr>
      <w:r>
        <w:t>private providers with a focus on a sustainable profit would be responsive to employer demands whil</w:t>
      </w:r>
      <w:r w:rsidR="00FF1DF0">
        <w:t>e</w:t>
      </w:r>
      <w:r>
        <w:t xml:space="preserve"> maintaining quality</w:t>
      </w:r>
      <w:r w:rsidRPr="00E65996">
        <w:t>.</w:t>
      </w:r>
      <w:r w:rsidR="00D1626B" w:rsidRPr="00E65996">
        <w:t xml:space="preserve"> </w:t>
      </w:r>
      <w:r w:rsidR="00E65996" w:rsidRPr="00E65996">
        <w:t>The gove</w:t>
      </w:r>
      <w:r w:rsidR="00E65996">
        <w:t>rnment was promoting a shift to a competitive training market to increase the effectiveness, flexibility, quality</w:t>
      </w:r>
      <w:r w:rsidR="00B33FE1">
        <w:t xml:space="preserve"> and responsiveness of VET. (</w:t>
      </w:r>
      <w:proofErr w:type="spellStart"/>
      <w:r w:rsidR="00E65996">
        <w:t>Cairney</w:t>
      </w:r>
      <w:proofErr w:type="spellEnd"/>
      <w:r w:rsidR="00E65996">
        <w:t>, 2000))</w:t>
      </w:r>
      <w:r w:rsidR="000A3DDA">
        <w:t>.</w:t>
      </w:r>
    </w:p>
    <w:p w14:paraId="7BDB58B2" w14:textId="77777777" w:rsidR="00F10442" w:rsidRPr="00E65996" w:rsidRDefault="00F10442" w:rsidP="00F10442">
      <w:pPr>
        <w:spacing w:after="0"/>
        <w:ind w:left="360"/>
      </w:pPr>
    </w:p>
    <w:p w14:paraId="74CF4946" w14:textId="77777777" w:rsidR="00A70DC7" w:rsidRDefault="00A70DC7" w:rsidP="00F10442">
      <w:pPr>
        <w:pStyle w:val="Heading2"/>
        <w:spacing w:before="0"/>
        <w:rPr>
          <w:rFonts w:asciiTheme="minorHAnsi" w:hAnsiTheme="minorHAnsi" w:cstheme="minorHAnsi"/>
          <w:b/>
          <w:color w:val="1F497D" w:themeColor="text2"/>
          <w:sz w:val="28"/>
          <w:szCs w:val="28"/>
        </w:rPr>
      </w:pPr>
      <w:bookmarkStart w:id="2" w:name="_Toc43128836"/>
      <w:r w:rsidRPr="003B3F3C">
        <w:rPr>
          <w:rFonts w:asciiTheme="minorHAnsi" w:hAnsiTheme="minorHAnsi" w:cstheme="minorHAnsi"/>
          <w:b/>
          <w:color w:val="1F497D" w:themeColor="text2"/>
          <w:sz w:val="28"/>
          <w:szCs w:val="28"/>
        </w:rPr>
        <w:t>Upp</w:t>
      </w:r>
      <w:r w:rsidR="00D1626B" w:rsidRPr="003B3F3C">
        <w:rPr>
          <w:rFonts w:asciiTheme="minorHAnsi" w:hAnsiTheme="minorHAnsi" w:cstheme="minorHAnsi"/>
          <w:b/>
          <w:color w:val="1F497D" w:themeColor="text2"/>
          <w:sz w:val="28"/>
          <w:szCs w:val="28"/>
        </w:rPr>
        <w:t>er secondary education outcomes</w:t>
      </w:r>
      <w:bookmarkEnd w:id="2"/>
    </w:p>
    <w:p w14:paraId="4F3AF452" w14:textId="77777777" w:rsidR="003B3F3C" w:rsidRPr="003B3F3C" w:rsidRDefault="003B3F3C" w:rsidP="00F10442">
      <w:pPr>
        <w:spacing w:after="0"/>
      </w:pPr>
    </w:p>
    <w:p w14:paraId="767036F3" w14:textId="47AEEF9A" w:rsidR="002741E0" w:rsidRDefault="00B829D3" w:rsidP="008C6857">
      <w:pPr>
        <w:spacing w:after="0"/>
      </w:pPr>
      <w:r>
        <w:t>Year</w:t>
      </w:r>
      <w:r w:rsidR="00D64908">
        <w:t xml:space="preserve"> 12 </w:t>
      </w:r>
      <w:r>
        <w:t xml:space="preserve">completions are now at </w:t>
      </w:r>
      <w:r w:rsidR="004A2512">
        <w:t>89</w:t>
      </w:r>
      <w:r w:rsidR="007C21DA">
        <w:t xml:space="preserve"> per cent</w:t>
      </w:r>
      <w:r w:rsidR="00B33FE1">
        <w:t xml:space="preserve">, with </w:t>
      </w:r>
      <w:r w:rsidR="004A2512">
        <w:t>55</w:t>
      </w:r>
      <w:r w:rsidR="007C21DA">
        <w:t xml:space="preserve"> per cent</w:t>
      </w:r>
      <w:r w:rsidR="004A2512">
        <w:t xml:space="preserve"> of </w:t>
      </w:r>
      <w:r>
        <w:t>co</w:t>
      </w:r>
      <w:r w:rsidR="00D1626B">
        <w:t>mpleters in Victoria undertak</w:t>
      </w:r>
      <w:r w:rsidR="00B33FE1">
        <w:t>ing</w:t>
      </w:r>
      <w:r w:rsidR="00D1626B">
        <w:t xml:space="preserve"> </w:t>
      </w:r>
      <w:r>
        <w:t>a</w:t>
      </w:r>
      <w:r w:rsidR="004A2512">
        <w:t xml:space="preserve"> </w:t>
      </w:r>
      <w:r w:rsidR="00762DFE">
        <w:t>b</w:t>
      </w:r>
      <w:r w:rsidR="00D1626B">
        <w:t>achelor</w:t>
      </w:r>
      <w:r>
        <w:t xml:space="preserve"> degree. (Th</w:t>
      </w:r>
      <w:r w:rsidR="00FF1DF0">
        <w:t xml:space="preserve">e numbers destined for university </w:t>
      </w:r>
      <w:r w:rsidR="00D1626B">
        <w:t>has</w:t>
      </w:r>
      <w:r>
        <w:t xml:space="preserve"> not changed significantly since 2014). For </w:t>
      </w:r>
      <w:r w:rsidR="00D1626B">
        <w:t>the remaining</w:t>
      </w:r>
      <w:r>
        <w:t xml:space="preserve"> </w:t>
      </w:r>
      <w:r w:rsidR="00D1626B">
        <w:t>completers</w:t>
      </w:r>
      <w:r w:rsidR="00B33FE1">
        <w:t>,</w:t>
      </w:r>
      <w:r w:rsidR="00D1626B">
        <w:t xml:space="preserve"> VET</w:t>
      </w:r>
      <w:r>
        <w:t xml:space="preserve"> </w:t>
      </w:r>
      <w:r w:rsidR="00FF1DF0">
        <w:t>has become</w:t>
      </w:r>
      <w:r w:rsidR="004107E9">
        <w:t xml:space="preserve"> </w:t>
      </w:r>
      <w:r w:rsidR="00FF1DF0">
        <w:t>less and less appealing</w:t>
      </w:r>
      <w:r w:rsidR="004107E9">
        <w:t>.</w:t>
      </w:r>
      <w:r w:rsidR="00FF1DF0">
        <w:t xml:space="preserve"> </w:t>
      </w:r>
      <w:r w:rsidR="004107E9">
        <w:t xml:space="preserve">VET </w:t>
      </w:r>
      <w:r w:rsidR="00F10442">
        <w:t>students are</w:t>
      </w:r>
      <w:r w:rsidR="004A2512">
        <w:t xml:space="preserve"> more likely to </w:t>
      </w:r>
      <w:r w:rsidR="00FF1DF0">
        <w:t xml:space="preserve">gain </w:t>
      </w:r>
      <w:r w:rsidR="00981691">
        <w:t>employment in low-</w:t>
      </w:r>
      <w:r w:rsidR="00D1626B">
        <w:t>skilled</w:t>
      </w:r>
      <w:r w:rsidR="00AE3F4C">
        <w:t xml:space="preserve"> </w:t>
      </w:r>
      <w:r w:rsidR="00D1626B">
        <w:t>work in</w:t>
      </w:r>
      <w:r w:rsidR="004A2512">
        <w:t xml:space="preserve"> industries that are primarily </w:t>
      </w:r>
      <w:proofErr w:type="spellStart"/>
      <w:r w:rsidR="004A2512">
        <w:t>casualised</w:t>
      </w:r>
      <w:proofErr w:type="spellEnd"/>
      <w:r w:rsidR="004A2512">
        <w:t>.</w:t>
      </w:r>
      <w:r w:rsidR="00F10442">
        <w:t xml:space="preserve"> </w:t>
      </w:r>
      <w:r w:rsidR="004107E9">
        <w:t>Meanwhile, n</w:t>
      </w:r>
      <w:r>
        <w:t>on-completers</w:t>
      </w:r>
      <w:r w:rsidR="00FF1DF0">
        <w:t xml:space="preserve"> are </w:t>
      </w:r>
      <w:r>
        <w:t>employ</w:t>
      </w:r>
      <w:r w:rsidR="00FF1DF0">
        <w:t xml:space="preserve">ed </w:t>
      </w:r>
      <w:r w:rsidR="00D1626B">
        <w:t>in</w:t>
      </w:r>
      <w:r w:rsidR="00FF1DF0">
        <w:t xml:space="preserve"> </w:t>
      </w:r>
      <w:r w:rsidR="00981691">
        <w:t>casual</w:t>
      </w:r>
      <w:r w:rsidR="00AE3F4C">
        <w:t xml:space="preserve"> </w:t>
      </w:r>
      <w:r w:rsidR="00981691">
        <w:t>and low-</w:t>
      </w:r>
      <w:r w:rsidR="00D1626B">
        <w:t>skilled jobs</w:t>
      </w:r>
      <w:r w:rsidR="00FF1DF0">
        <w:t xml:space="preserve"> in similar numbers</w:t>
      </w:r>
      <w:r w:rsidR="00D1626B">
        <w:t>.</w:t>
      </w:r>
    </w:p>
    <w:p w14:paraId="5F4AD122" w14:textId="77777777" w:rsidR="008C6857" w:rsidRDefault="008C6857" w:rsidP="008C6857">
      <w:pPr>
        <w:spacing w:after="0" w:line="360" w:lineRule="auto"/>
        <w:rPr>
          <w:rStyle w:val="Strong"/>
          <w:color w:val="1F497D" w:themeColor="text2"/>
          <w:sz w:val="24"/>
        </w:rPr>
      </w:pPr>
    </w:p>
    <w:p w14:paraId="49F90209" w14:textId="42613BBB" w:rsidR="00D1626B" w:rsidRDefault="00E10D85" w:rsidP="008C6857">
      <w:pPr>
        <w:spacing w:after="0" w:line="360" w:lineRule="auto"/>
        <w:rPr>
          <w:rStyle w:val="Strong"/>
          <w:color w:val="1F497D" w:themeColor="text2"/>
          <w:sz w:val="24"/>
        </w:rPr>
      </w:pPr>
      <w:r>
        <w:rPr>
          <w:rStyle w:val="Strong"/>
          <w:color w:val="1F497D" w:themeColor="text2"/>
          <w:sz w:val="24"/>
        </w:rPr>
        <w:t xml:space="preserve">Table </w:t>
      </w:r>
      <w:r w:rsidR="00D81EF0">
        <w:rPr>
          <w:rStyle w:val="Strong"/>
          <w:color w:val="1F497D" w:themeColor="text2"/>
          <w:sz w:val="24"/>
        </w:rPr>
        <w:t xml:space="preserve">1 </w:t>
      </w:r>
      <w:r w:rsidR="00D1626B" w:rsidRPr="00523253">
        <w:rPr>
          <w:rStyle w:val="Strong"/>
          <w:color w:val="1F497D" w:themeColor="text2"/>
          <w:sz w:val="24"/>
        </w:rPr>
        <w:t>Destination patterns, Year 12 completers</w:t>
      </w:r>
    </w:p>
    <w:p w14:paraId="273D4F73" w14:textId="77777777" w:rsidR="00B1145C" w:rsidRDefault="00B1145C" w:rsidP="008C6857">
      <w:pPr>
        <w:spacing w:after="0" w:line="360" w:lineRule="auto"/>
        <w:rPr>
          <w:rStyle w:val="Strong"/>
          <w:color w:val="1F497D" w:themeColor="text2"/>
          <w:sz w:val="24"/>
        </w:rPr>
      </w:pPr>
    </w:p>
    <w:tbl>
      <w:tblPr>
        <w:tblStyle w:val="TableGrid"/>
        <w:tblW w:w="9016"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3397"/>
        <w:gridCol w:w="1134"/>
        <w:gridCol w:w="1134"/>
        <w:gridCol w:w="1134"/>
        <w:gridCol w:w="1134"/>
        <w:gridCol w:w="1083"/>
      </w:tblGrid>
      <w:tr w:rsidR="008E450A" w:rsidRPr="008E450A" w14:paraId="7C98CD8A" w14:textId="77777777" w:rsidTr="002741E0">
        <w:trPr>
          <w:trHeight w:val="399"/>
        </w:trPr>
        <w:tc>
          <w:tcPr>
            <w:tcW w:w="3397" w:type="dxa"/>
            <w:shd w:val="clear" w:color="auto" w:fill="C6D9F1" w:themeFill="text2" w:themeFillTint="33"/>
            <w:vAlign w:val="center"/>
          </w:tcPr>
          <w:p w14:paraId="70CFF38D" w14:textId="77777777" w:rsidR="00D1626B" w:rsidRPr="008E450A" w:rsidRDefault="00D1626B" w:rsidP="009D7D90">
            <w:pPr>
              <w:spacing w:line="276" w:lineRule="auto"/>
              <w:ind w:right="118"/>
              <w:rPr>
                <w:rStyle w:val="Strong"/>
                <w:rFonts w:ascii="Calibri" w:hAnsi="Calibri" w:cs="Calibri"/>
                <w:b w:val="0"/>
                <w:bCs w:val="0"/>
                <w:color w:val="1F497D" w:themeColor="text2"/>
              </w:rPr>
            </w:pPr>
            <w:r w:rsidRPr="008E450A">
              <w:rPr>
                <w:rStyle w:val="Strong"/>
                <w:rFonts w:ascii="Calibri" w:hAnsi="Calibri" w:cs="Calibri"/>
                <w:color w:val="1F497D" w:themeColor="text2"/>
              </w:rPr>
              <w:t>Destination</w:t>
            </w:r>
          </w:p>
        </w:tc>
        <w:tc>
          <w:tcPr>
            <w:tcW w:w="1134" w:type="dxa"/>
            <w:shd w:val="clear" w:color="auto" w:fill="C6D9F1" w:themeFill="text2" w:themeFillTint="33"/>
            <w:vAlign w:val="center"/>
          </w:tcPr>
          <w:p w14:paraId="74BF51B8" w14:textId="77777777" w:rsidR="00D1626B" w:rsidRPr="008E450A" w:rsidRDefault="00D1626B" w:rsidP="009D7D90">
            <w:pPr>
              <w:spacing w:line="276" w:lineRule="auto"/>
              <w:ind w:right="118"/>
              <w:jc w:val="center"/>
              <w:rPr>
                <w:rStyle w:val="Strong"/>
                <w:rFonts w:ascii="Calibri" w:hAnsi="Calibri" w:cs="Calibri"/>
                <w:b w:val="0"/>
                <w:bCs w:val="0"/>
                <w:color w:val="1F497D" w:themeColor="text2"/>
              </w:rPr>
            </w:pPr>
            <w:r w:rsidRPr="008E450A">
              <w:rPr>
                <w:rStyle w:val="Strong"/>
                <w:rFonts w:ascii="Calibri" w:hAnsi="Calibri" w:cs="Calibri"/>
                <w:color w:val="1F497D" w:themeColor="text2"/>
              </w:rPr>
              <w:t>2014</w:t>
            </w:r>
          </w:p>
        </w:tc>
        <w:tc>
          <w:tcPr>
            <w:tcW w:w="1134" w:type="dxa"/>
            <w:shd w:val="clear" w:color="auto" w:fill="C6D9F1" w:themeFill="text2" w:themeFillTint="33"/>
            <w:vAlign w:val="center"/>
          </w:tcPr>
          <w:p w14:paraId="6AAEF674" w14:textId="77777777" w:rsidR="00D1626B" w:rsidRPr="008E450A" w:rsidRDefault="00D1626B" w:rsidP="009D7D90">
            <w:pPr>
              <w:spacing w:line="276" w:lineRule="auto"/>
              <w:ind w:right="118"/>
              <w:jc w:val="center"/>
              <w:rPr>
                <w:rStyle w:val="Strong"/>
                <w:rFonts w:ascii="Calibri" w:hAnsi="Calibri" w:cs="Calibri"/>
                <w:b w:val="0"/>
                <w:bCs w:val="0"/>
                <w:color w:val="1F497D" w:themeColor="text2"/>
              </w:rPr>
            </w:pPr>
            <w:r w:rsidRPr="008E450A">
              <w:rPr>
                <w:rStyle w:val="Strong"/>
                <w:rFonts w:ascii="Calibri" w:hAnsi="Calibri" w:cs="Calibri"/>
                <w:color w:val="1F497D" w:themeColor="text2"/>
              </w:rPr>
              <w:t>2015</w:t>
            </w:r>
          </w:p>
        </w:tc>
        <w:tc>
          <w:tcPr>
            <w:tcW w:w="1134" w:type="dxa"/>
            <w:shd w:val="clear" w:color="auto" w:fill="C6D9F1" w:themeFill="text2" w:themeFillTint="33"/>
            <w:vAlign w:val="center"/>
          </w:tcPr>
          <w:p w14:paraId="5531AEA9" w14:textId="77777777" w:rsidR="00D1626B" w:rsidRPr="008E450A" w:rsidRDefault="00D1626B" w:rsidP="009D7D90">
            <w:pPr>
              <w:spacing w:line="276" w:lineRule="auto"/>
              <w:ind w:right="118"/>
              <w:jc w:val="center"/>
              <w:rPr>
                <w:rStyle w:val="Strong"/>
                <w:rFonts w:ascii="Calibri" w:hAnsi="Calibri" w:cs="Calibri"/>
                <w:b w:val="0"/>
                <w:bCs w:val="0"/>
                <w:color w:val="1F497D" w:themeColor="text2"/>
              </w:rPr>
            </w:pPr>
            <w:r w:rsidRPr="008E450A">
              <w:rPr>
                <w:rStyle w:val="Strong"/>
                <w:rFonts w:ascii="Calibri" w:hAnsi="Calibri" w:cs="Calibri"/>
                <w:color w:val="1F497D" w:themeColor="text2"/>
              </w:rPr>
              <w:t>2016</w:t>
            </w:r>
          </w:p>
        </w:tc>
        <w:tc>
          <w:tcPr>
            <w:tcW w:w="1134" w:type="dxa"/>
            <w:shd w:val="clear" w:color="auto" w:fill="C6D9F1" w:themeFill="text2" w:themeFillTint="33"/>
            <w:vAlign w:val="center"/>
          </w:tcPr>
          <w:p w14:paraId="6E066029" w14:textId="77777777" w:rsidR="00D1626B" w:rsidRPr="008E450A" w:rsidRDefault="00D1626B" w:rsidP="009D7D90">
            <w:pPr>
              <w:spacing w:line="276" w:lineRule="auto"/>
              <w:ind w:right="118"/>
              <w:jc w:val="center"/>
              <w:rPr>
                <w:rStyle w:val="Strong"/>
                <w:rFonts w:ascii="Calibri" w:hAnsi="Calibri" w:cs="Calibri"/>
                <w:b w:val="0"/>
                <w:bCs w:val="0"/>
                <w:color w:val="1F497D" w:themeColor="text2"/>
              </w:rPr>
            </w:pPr>
            <w:r w:rsidRPr="008E450A">
              <w:rPr>
                <w:rStyle w:val="Strong"/>
                <w:rFonts w:ascii="Calibri" w:hAnsi="Calibri" w:cs="Calibri"/>
                <w:color w:val="1F497D" w:themeColor="text2"/>
              </w:rPr>
              <w:t>2017</w:t>
            </w:r>
          </w:p>
        </w:tc>
        <w:tc>
          <w:tcPr>
            <w:tcW w:w="1083" w:type="dxa"/>
            <w:shd w:val="clear" w:color="auto" w:fill="C6D9F1" w:themeFill="text2" w:themeFillTint="33"/>
            <w:vAlign w:val="center"/>
          </w:tcPr>
          <w:p w14:paraId="05A3EBC6" w14:textId="77777777" w:rsidR="00D1626B" w:rsidRPr="008E450A" w:rsidRDefault="00D1626B" w:rsidP="009D7D90">
            <w:pPr>
              <w:spacing w:line="276" w:lineRule="auto"/>
              <w:ind w:right="118"/>
              <w:jc w:val="center"/>
              <w:rPr>
                <w:rStyle w:val="Strong"/>
                <w:rFonts w:ascii="Calibri" w:hAnsi="Calibri" w:cs="Calibri"/>
                <w:b w:val="0"/>
                <w:bCs w:val="0"/>
                <w:color w:val="1F497D" w:themeColor="text2"/>
              </w:rPr>
            </w:pPr>
            <w:r w:rsidRPr="008E450A">
              <w:rPr>
                <w:rStyle w:val="Strong"/>
                <w:rFonts w:ascii="Calibri" w:hAnsi="Calibri" w:cs="Calibri"/>
                <w:color w:val="1F497D" w:themeColor="text2"/>
              </w:rPr>
              <w:t>2018</w:t>
            </w:r>
          </w:p>
        </w:tc>
      </w:tr>
      <w:tr w:rsidR="008E450A" w:rsidRPr="008E450A" w14:paraId="4B985667" w14:textId="77777777" w:rsidTr="002741E0">
        <w:tc>
          <w:tcPr>
            <w:tcW w:w="3397" w:type="dxa"/>
          </w:tcPr>
          <w:p w14:paraId="0D121355" w14:textId="77777777" w:rsidR="00D1626B" w:rsidRPr="000B0E39" w:rsidRDefault="00D1626B" w:rsidP="009D7D90">
            <w:pPr>
              <w:spacing w:line="276" w:lineRule="auto"/>
              <w:ind w:right="118"/>
              <w:rPr>
                <w:rStyle w:val="Strong"/>
                <w:rFonts w:ascii="Calibri" w:hAnsi="Calibri" w:cs="Calibri"/>
                <w:b w:val="0"/>
                <w:bCs w:val="0"/>
              </w:rPr>
            </w:pPr>
            <w:r w:rsidRPr="000B0E39">
              <w:rPr>
                <w:rStyle w:val="Strong"/>
                <w:rFonts w:ascii="Calibri" w:hAnsi="Calibri" w:cs="Calibri"/>
                <w:b w:val="0"/>
              </w:rPr>
              <w:t>Bachelor degree</w:t>
            </w:r>
          </w:p>
        </w:tc>
        <w:tc>
          <w:tcPr>
            <w:tcW w:w="1134" w:type="dxa"/>
          </w:tcPr>
          <w:p w14:paraId="097C6273" w14:textId="77777777" w:rsidR="00D1626B" w:rsidRPr="000B0E39" w:rsidRDefault="00D1626B" w:rsidP="009D7D90">
            <w:pPr>
              <w:spacing w:line="276" w:lineRule="auto"/>
              <w:ind w:right="118"/>
              <w:jc w:val="center"/>
              <w:rPr>
                <w:rStyle w:val="Strong"/>
                <w:rFonts w:ascii="Calibri" w:hAnsi="Calibri" w:cs="Calibri"/>
                <w:b w:val="0"/>
                <w:bCs w:val="0"/>
              </w:rPr>
            </w:pPr>
            <w:r w:rsidRPr="000B0E39">
              <w:rPr>
                <w:rStyle w:val="Strong"/>
                <w:rFonts w:ascii="Calibri" w:hAnsi="Calibri" w:cs="Calibri"/>
                <w:b w:val="0"/>
              </w:rPr>
              <w:t>54.3%</w:t>
            </w:r>
          </w:p>
        </w:tc>
        <w:tc>
          <w:tcPr>
            <w:tcW w:w="1134" w:type="dxa"/>
          </w:tcPr>
          <w:p w14:paraId="03D97C98" w14:textId="77777777" w:rsidR="00D1626B" w:rsidRPr="000B0E39" w:rsidRDefault="00D1626B" w:rsidP="009D7D90">
            <w:pPr>
              <w:spacing w:line="276" w:lineRule="auto"/>
              <w:ind w:right="118"/>
              <w:jc w:val="center"/>
              <w:rPr>
                <w:rStyle w:val="Strong"/>
                <w:rFonts w:ascii="Calibri" w:hAnsi="Calibri" w:cs="Calibri"/>
                <w:b w:val="0"/>
                <w:bCs w:val="0"/>
              </w:rPr>
            </w:pPr>
            <w:r w:rsidRPr="000B0E39">
              <w:rPr>
                <w:rStyle w:val="Strong"/>
                <w:rFonts w:ascii="Calibri" w:hAnsi="Calibri" w:cs="Calibri"/>
                <w:b w:val="0"/>
              </w:rPr>
              <w:t>53.2%</w:t>
            </w:r>
          </w:p>
        </w:tc>
        <w:tc>
          <w:tcPr>
            <w:tcW w:w="1134" w:type="dxa"/>
          </w:tcPr>
          <w:p w14:paraId="498D8A24" w14:textId="77777777" w:rsidR="00D1626B" w:rsidRPr="000B0E39" w:rsidRDefault="00D1626B" w:rsidP="009D7D90">
            <w:pPr>
              <w:spacing w:line="276" w:lineRule="auto"/>
              <w:ind w:right="118"/>
              <w:jc w:val="center"/>
              <w:rPr>
                <w:rStyle w:val="Strong"/>
                <w:rFonts w:ascii="Calibri" w:hAnsi="Calibri" w:cs="Calibri"/>
                <w:b w:val="0"/>
                <w:bCs w:val="0"/>
              </w:rPr>
            </w:pPr>
            <w:r w:rsidRPr="000B0E39">
              <w:rPr>
                <w:rStyle w:val="Strong"/>
                <w:rFonts w:ascii="Calibri" w:hAnsi="Calibri" w:cs="Calibri"/>
                <w:b w:val="0"/>
              </w:rPr>
              <w:t>54.2%</w:t>
            </w:r>
          </w:p>
        </w:tc>
        <w:tc>
          <w:tcPr>
            <w:tcW w:w="1134" w:type="dxa"/>
          </w:tcPr>
          <w:p w14:paraId="55F96663" w14:textId="77777777" w:rsidR="00D1626B" w:rsidRPr="000B0E39" w:rsidRDefault="00D1626B" w:rsidP="009D7D90">
            <w:pPr>
              <w:spacing w:line="276" w:lineRule="auto"/>
              <w:ind w:right="118"/>
              <w:jc w:val="center"/>
              <w:rPr>
                <w:rStyle w:val="Strong"/>
                <w:rFonts w:ascii="Calibri" w:hAnsi="Calibri" w:cs="Calibri"/>
                <w:b w:val="0"/>
                <w:bCs w:val="0"/>
              </w:rPr>
            </w:pPr>
            <w:r w:rsidRPr="000B0E39">
              <w:rPr>
                <w:rStyle w:val="Strong"/>
                <w:rFonts w:ascii="Calibri" w:hAnsi="Calibri" w:cs="Calibri"/>
                <w:b w:val="0"/>
              </w:rPr>
              <w:t>53.8%</w:t>
            </w:r>
          </w:p>
        </w:tc>
        <w:tc>
          <w:tcPr>
            <w:tcW w:w="1083" w:type="dxa"/>
          </w:tcPr>
          <w:p w14:paraId="5BD9BF9A" w14:textId="77777777" w:rsidR="00D1626B" w:rsidRPr="000B0E39" w:rsidRDefault="00D1626B" w:rsidP="009D7D90">
            <w:pPr>
              <w:spacing w:line="276" w:lineRule="auto"/>
              <w:ind w:right="118"/>
              <w:jc w:val="center"/>
              <w:rPr>
                <w:rStyle w:val="Strong"/>
                <w:rFonts w:ascii="Calibri" w:hAnsi="Calibri" w:cs="Calibri"/>
                <w:b w:val="0"/>
                <w:bCs w:val="0"/>
              </w:rPr>
            </w:pPr>
            <w:r w:rsidRPr="000B0E39">
              <w:rPr>
                <w:rStyle w:val="Strong"/>
                <w:rFonts w:ascii="Calibri" w:hAnsi="Calibri" w:cs="Calibri"/>
                <w:b w:val="0"/>
              </w:rPr>
              <w:t>54.9%</w:t>
            </w:r>
          </w:p>
        </w:tc>
      </w:tr>
      <w:tr w:rsidR="008E450A" w:rsidRPr="008E450A" w14:paraId="21747E21" w14:textId="77777777" w:rsidTr="002741E0">
        <w:tc>
          <w:tcPr>
            <w:tcW w:w="3397" w:type="dxa"/>
          </w:tcPr>
          <w:p w14:paraId="2E3796FE" w14:textId="77777777" w:rsidR="00D1626B" w:rsidRPr="000B0E39" w:rsidRDefault="00D1626B" w:rsidP="009D7D90">
            <w:pPr>
              <w:spacing w:line="276" w:lineRule="auto"/>
              <w:ind w:right="118"/>
              <w:rPr>
                <w:rStyle w:val="Strong"/>
                <w:rFonts w:ascii="Calibri" w:hAnsi="Calibri" w:cs="Calibri"/>
                <w:b w:val="0"/>
                <w:bCs w:val="0"/>
              </w:rPr>
            </w:pPr>
            <w:r w:rsidRPr="000B0E39">
              <w:rPr>
                <w:rStyle w:val="Strong"/>
                <w:rFonts w:ascii="Calibri" w:hAnsi="Calibri" w:cs="Calibri"/>
                <w:b w:val="0"/>
              </w:rPr>
              <w:t>Certificate/Diploma</w:t>
            </w:r>
          </w:p>
        </w:tc>
        <w:tc>
          <w:tcPr>
            <w:tcW w:w="1134" w:type="dxa"/>
          </w:tcPr>
          <w:p w14:paraId="25A8657E" w14:textId="77777777" w:rsidR="00D1626B" w:rsidRPr="000B0E39" w:rsidRDefault="00D1626B" w:rsidP="009D7D90">
            <w:pPr>
              <w:spacing w:line="276" w:lineRule="auto"/>
              <w:ind w:right="118"/>
              <w:jc w:val="center"/>
              <w:rPr>
                <w:rStyle w:val="Strong"/>
                <w:rFonts w:ascii="Calibri" w:hAnsi="Calibri" w:cs="Calibri"/>
                <w:b w:val="0"/>
                <w:bCs w:val="0"/>
              </w:rPr>
            </w:pPr>
            <w:r w:rsidRPr="000B0E39">
              <w:rPr>
                <w:rStyle w:val="Strong"/>
                <w:rFonts w:ascii="Calibri" w:hAnsi="Calibri" w:cs="Calibri"/>
                <w:b w:val="0"/>
              </w:rPr>
              <w:t>16.1%</w:t>
            </w:r>
          </w:p>
        </w:tc>
        <w:tc>
          <w:tcPr>
            <w:tcW w:w="1134" w:type="dxa"/>
          </w:tcPr>
          <w:p w14:paraId="484A56BC" w14:textId="77777777" w:rsidR="00D1626B" w:rsidRPr="000B0E39" w:rsidRDefault="00D1626B" w:rsidP="009D7D90">
            <w:pPr>
              <w:spacing w:line="276" w:lineRule="auto"/>
              <w:ind w:right="118"/>
              <w:jc w:val="center"/>
              <w:rPr>
                <w:rStyle w:val="Strong"/>
                <w:rFonts w:ascii="Calibri" w:hAnsi="Calibri" w:cs="Calibri"/>
                <w:b w:val="0"/>
                <w:bCs w:val="0"/>
              </w:rPr>
            </w:pPr>
            <w:r w:rsidRPr="000B0E39">
              <w:rPr>
                <w:rStyle w:val="Strong"/>
                <w:rFonts w:ascii="Calibri" w:hAnsi="Calibri" w:cs="Calibri"/>
                <w:b w:val="0"/>
              </w:rPr>
              <w:t>16.3%</w:t>
            </w:r>
          </w:p>
        </w:tc>
        <w:tc>
          <w:tcPr>
            <w:tcW w:w="1134" w:type="dxa"/>
          </w:tcPr>
          <w:p w14:paraId="66EE3A78" w14:textId="77777777" w:rsidR="00D1626B" w:rsidRPr="000B0E39" w:rsidRDefault="00D1626B" w:rsidP="009D7D90">
            <w:pPr>
              <w:spacing w:line="276" w:lineRule="auto"/>
              <w:ind w:right="118"/>
              <w:jc w:val="center"/>
              <w:rPr>
                <w:rStyle w:val="Strong"/>
                <w:rFonts w:ascii="Calibri" w:hAnsi="Calibri" w:cs="Calibri"/>
                <w:b w:val="0"/>
                <w:bCs w:val="0"/>
              </w:rPr>
            </w:pPr>
            <w:r w:rsidRPr="000B0E39">
              <w:rPr>
                <w:rStyle w:val="Strong"/>
                <w:rFonts w:ascii="Calibri" w:hAnsi="Calibri" w:cs="Calibri"/>
                <w:b w:val="0"/>
              </w:rPr>
              <w:t>14.6%</w:t>
            </w:r>
          </w:p>
        </w:tc>
        <w:tc>
          <w:tcPr>
            <w:tcW w:w="1134" w:type="dxa"/>
          </w:tcPr>
          <w:p w14:paraId="5C45F511" w14:textId="77777777" w:rsidR="00D1626B" w:rsidRPr="000B0E39" w:rsidRDefault="00D1626B" w:rsidP="009D7D90">
            <w:pPr>
              <w:spacing w:line="276" w:lineRule="auto"/>
              <w:ind w:right="118"/>
              <w:jc w:val="center"/>
              <w:rPr>
                <w:rStyle w:val="Strong"/>
                <w:rFonts w:ascii="Calibri" w:hAnsi="Calibri" w:cs="Calibri"/>
                <w:b w:val="0"/>
                <w:bCs w:val="0"/>
              </w:rPr>
            </w:pPr>
            <w:r w:rsidRPr="000B0E39">
              <w:rPr>
                <w:rStyle w:val="Strong"/>
                <w:rFonts w:ascii="Calibri" w:hAnsi="Calibri" w:cs="Calibri"/>
                <w:b w:val="0"/>
              </w:rPr>
              <w:t>12.9%</w:t>
            </w:r>
          </w:p>
        </w:tc>
        <w:tc>
          <w:tcPr>
            <w:tcW w:w="1083" w:type="dxa"/>
          </w:tcPr>
          <w:p w14:paraId="02D78776" w14:textId="77777777" w:rsidR="00D1626B" w:rsidRPr="000B0E39" w:rsidRDefault="00D1626B" w:rsidP="009D7D90">
            <w:pPr>
              <w:spacing w:line="276" w:lineRule="auto"/>
              <w:ind w:right="118"/>
              <w:jc w:val="center"/>
              <w:rPr>
                <w:rStyle w:val="Strong"/>
                <w:rFonts w:ascii="Calibri" w:hAnsi="Calibri" w:cs="Calibri"/>
                <w:b w:val="0"/>
                <w:bCs w:val="0"/>
              </w:rPr>
            </w:pPr>
            <w:r w:rsidRPr="000B0E39">
              <w:rPr>
                <w:rStyle w:val="Strong"/>
                <w:rFonts w:ascii="Calibri" w:hAnsi="Calibri" w:cs="Calibri"/>
                <w:b w:val="0"/>
              </w:rPr>
              <w:t>12.1%</w:t>
            </w:r>
          </w:p>
        </w:tc>
      </w:tr>
      <w:tr w:rsidR="008E450A" w:rsidRPr="008E450A" w14:paraId="4A94D8AD" w14:textId="77777777" w:rsidTr="002741E0">
        <w:tc>
          <w:tcPr>
            <w:tcW w:w="3397" w:type="dxa"/>
          </w:tcPr>
          <w:p w14:paraId="0D177DAD" w14:textId="77777777" w:rsidR="00D1626B" w:rsidRPr="000B0E39" w:rsidRDefault="00D1626B" w:rsidP="009D7D90">
            <w:pPr>
              <w:spacing w:line="276" w:lineRule="auto"/>
              <w:ind w:right="118"/>
              <w:rPr>
                <w:rStyle w:val="Strong"/>
                <w:rFonts w:ascii="Calibri" w:hAnsi="Calibri" w:cs="Calibri"/>
                <w:b w:val="0"/>
                <w:bCs w:val="0"/>
              </w:rPr>
            </w:pPr>
            <w:r w:rsidRPr="000B0E39">
              <w:rPr>
                <w:rStyle w:val="Strong"/>
                <w:rFonts w:ascii="Calibri" w:hAnsi="Calibri" w:cs="Calibri"/>
                <w:b w:val="0"/>
              </w:rPr>
              <w:t>Apprenticeship/Traineeship</w:t>
            </w:r>
          </w:p>
        </w:tc>
        <w:tc>
          <w:tcPr>
            <w:tcW w:w="1134" w:type="dxa"/>
          </w:tcPr>
          <w:p w14:paraId="593D1D7A" w14:textId="77777777" w:rsidR="00D1626B" w:rsidRPr="000B0E39" w:rsidRDefault="00D1626B" w:rsidP="009D7D90">
            <w:pPr>
              <w:spacing w:line="276" w:lineRule="auto"/>
              <w:ind w:right="118"/>
              <w:jc w:val="center"/>
              <w:rPr>
                <w:rStyle w:val="Strong"/>
                <w:rFonts w:ascii="Calibri" w:hAnsi="Calibri" w:cs="Calibri"/>
                <w:b w:val="0"/>
                <w:bCs w:val="0"/>
              </w:rPr>
            </w:pPr>
            <w:r w:rsidRPr="000B0E39">
              <w:rPr>
                <w:rStyle w:val="Strong"/>
                <w:rFonts w:ascii="Calibri" w:hAnsi="Calibri" w:cs="Calibri"/>
                <w:b w:val="0"/>
              </w:rPr>
              <w:t>7.0%</w:t>
            </w:r>
          </w:p>
        </w:tc>
        <w:tc>
          <w:tcPr>
            <w:tcW w:w="1134" w:type="dxa"/>
          </w:tcPr>
          <w:p w14:paraId="18A0C40A" w14:textId="77777777" w:rsidR="00D1626B" w:rsidRPr="000B0E39" w:rsidRDefault="00D1626B" w:rsidP="009D7D90">
            <w:pPr>
              <w:spacing w:line="276" w:lineRule="auto"/>
              <w:ind w:right="118"/>
              <w:jc w:val="center"/>
              <w:rPr>
                <w:rStyle w:val="Strong"/>
                <w:rFonts w:ascii="Calibri" w:hAnsi="Calibri" w:cs="Calibri"/>
                <w:b w:val="0"/>
                <w:bCs w:val="0"/>
              </w:rPr>
            </w:pPr>
            <w:r w:rsidRPr="000B0E39">
              <w:rPr>
                <w:rStyle w:val="Strong"/>
                <w:rFonts w:ascii="Calibri" w:hAnsi="Calibri" w:cs="Calibri"/>
                <w:b w:val="0"/>
              </w:rPr>
              <w:t>7.5%</w:t>
            </w:r>
          </w:p>
        </w:tc>
        <w:tc>
          <w:tcPr>
            <w:tcW w:w="1134" w:type="dxa"/>
          </w:tcPr>
          <w:p w14:paraId="6A8D6AA1" w14:textId="77777777" w:rsidR="00D1626B" w:rsidRPr="000B0E39" w:rsidRDefault="00D1626B" w:rsidP="009D7D90">
            <w:pPr>
              <w:spacing w:line="276" w:lineRule="auto"/>
              <w:ind w:right="118"/>
              <w:jc w:val="center"/>
              <w:rPr>
                <w:rStyle w:val="Strong"/>
                <w:rFonts w:ascii="Calibri" w:hAnsi="Calibri" w:cs="Calibri"/>
                <w:b w:val="0"/>
                <w:bCs w:val="0"/>
              </w:rPr>
            </w:pPr>
            <w:r w:rsidRPr="000B0E39">
              <w:rPr>
                <w:rStyle w:val="Strong"/>
                <w:rFonts w:ascii="Calibri" w:hAnsi="Calibri" w:cs="Calibri"/>
                <w:b w:val="0"/>
              </w:rPr>
              <w:t>8.1%</w:t>
            </w:r>
          </w:p>
        </w:tc>
        <w:tc>
          <w:tcPr>
            <w:tcW w:w="1134" w:type="dxa"/>
          </w:tcPr>
          <w:p w14:paraId="4E4088C4" w14:textId="77777777" w:rsidR="00D1626B" w:rsidRPr="000B0E39" w:rsidRDefault="00D1626B" w:rsidP="009D7D90">
            <w:pPr>
              <w:spacing w:line="276" w:lineRule="auto"/>
              <w:ind w:right="118"/>
              <w:jc w:val="center"/>
              <w:rPr>
                <w:rStyle w:val="Strong"/>
                <w:rFonts w:ascii="Calibri" w:hAnsi="Calibri" w:cs="Calibri"/>
                <w:b w:val="0"/>
                <w:bCs w:val="0"/>
              </w:rPr>
            </w:pPr>
            <w:r w:rsidRPr="000B0E39">
              <w:rPr>
                <w:rStyle w:val="Strong"/>
                <w:rFonts w:ascii="Calibri" w:hAnsi="Calibri" w:cs="Calibri"/>
                <w:b w:val="0"/>
              </w:rPr>
              <w:t>8.1%</w:t>
            </w:r>
          </w:p>
        </w:tc>
        <w:tc>
          <w:tcPr>
            <w:tcW w:w="1083" w:type="dxa"/>
          </w:tcPr>
          <w:p w14:paraId="1CCB9EB9" w14:textId="77777777" w:rsidR="00D1626B" w:rsidRPr="000B0E39" w:rsidRDefault="00D1626B" w:rsidP="009D7D90">
            <w:pPr>
              <w:spacing w:line="276" w:lineRule="auto"/>
              <w:ind w:right="118"/>
              <w:jc w:val="center"/>
              <w:rPr>
                <w:rStyle w:val="Strong"/>
                <w:rFonts w:ascii="Calibri" w:hAnsi="Calibri" w:cs="Calibri"/>
                <w:b w:val="0"/>
                <w:bCs w:val="0"/>
              </w:rPr>
            </w:pPr>
            <w:r w:rsidRPr="000B0E39">
              <w:rPr>
                <w:rStyle w:val="Strong"/>
                <w:rFonts w:ascii="Calibri" w:hAnsi="Calibri" w:cs="Calibri"/>
                <w:b w:val="0"/>
              </w:rPr>
              <w:t>8.1%</w:t>
            </w:r>
          </w:p>
        </w:tc>
      </w:tr>
      <w:tr w:rsidR="008E450A" w:rsidRPr="008E450A" w14:paraId="26D5EAA7" w14:textId="77777777" w:rsidTr="002741E0">
        <w:tc>
          <w:tcPr>
            <w:tcW w:w="3397" w:type="dxa"/>
          </w:tcPr>
          <w:p w14:paraId="4B494AE6" w14:textId="77777777" w:rsidR="00D1626B" w:rsidRPr="000B0E39" w:rsidRDefault="00D1626B" w:rsidP="009D7D90">
            <w:pPr>
              <w:spacing w:line="276" w:lineRule="auto"/>
              <w:ind w:right="118"/>
              <w:rPr>
                <w:rStyle w:val="Strong"/>
                <w:rFonts w:ascii="Calibri" w:hAnsi="Calibri" w:cs="Calibri"/>
                <w:b w:val="0"/>
                <w:bCs w:val="0"/>
              </w:rPr>
            </w:pPr>
            <w:r w:rsidRPr="000B0E39">
              <w:rPr>
                <w:rStyle w:val="Strong"/>
                <w:rFonts w:ascii="Calibri" w:hAnsi="Calibri" w:cs="Calibri"/>
                <w:b w:val="0"/>
              </w:rPr>
              <w:t>Employed</w:t>
            </w:r>
          </w:p>
        </w:tc>
        <w:tc>
          <w:tcPr>
            <w:tcW w:w="1134" w:type="dxa"/>
          </w:tcPr>
          <w:p w14:paraId="55CB4287" w14:textId="77777777" w:rsidR="00D1626B" w:rsidRPr="000B0E39" w:rsidRDefault="00D1626B" w:rsidP="009D7D90">
            <w:pPr>
              <w:spacing w:line="276" w:lineRule="auto"/>
              <w:ind w:right="118"/>
              <w:jc w:val="center"/>
              <w:rPr>
                <w:rStyle w:val="Strong"/>
                <w:rFonts w:ascii="Calibri" w:hAnsi="Calibri" w:cs="Calibri"/>
                <w:b w:val="0"/>
                <w:bCs w:val="0"/>
              </w:rPr>
            </w:pPr>
            <w:r w:rsidRPr="000B0E39">
              <w:rPr>
                <w:rStyle w:val="Strong"/>
                <w:rFonts w:ascii="Calibri" w:hAnsi="Calibri" w:cs="Calibri"/>
                <w:b w:val="0"/>
              </w:rPr>
              <w:t>9.1%</w:t>
            </w:r>
          </w:p>
        </w:tc>
        <w:tc>
          <w:tcPr>
            <w:tcW w:w="1134" w:type="dxa"/>
          </w:tcPr>
          <w:p w14:paraId="71C4213D" w14:textId="77777777" w:rsidR="00D1626B" w:rsidRPr="000B0E39" w:rsidRDefault="00D1626B" w:rsidP="009D7D90">
            <w:pPr>
              <w:spacing w:line="276" w:lineRule="auto"/>
              <w:ind w:right="118"/>
              <w:jc w:val="center"/>
              <w:rPr>
                <w:rStyle w:val="Strong"/>
                <w:rFonts w:ascii="Calibri" w:hAnsi="Calibri" w:cs="Calibri"/>
                <w:b w:val="0"/>
                <w:bCs w:val="0"/>
              </w:rPr>
            </w:pPr>
            <w:r w:rsidRPr="000B0E39">
              <w:rPr>
                <w:rStyle w:val="Strong"/>
                <w:rFonts w:ascii="Calibri" w:hAnsi="Calibri" w:cs="Calibri"/>
                <w:b w:val="0"/>
              </w:rPr>
              <w:t>9.6%</w:t>
            </w:r>
          </w:p>
        </w:tc>
        <w:tc>
          <w:tcPr>
            <w:tcW w:w="1134" w:type="dxa"/>
          </w:tcPr>
          <w:p w14:paraId="0C3C0618" w14:textId="77777777" w:rsidR="00D1626B" w:rsidRPr="000B0E39" w:rsidRDefault="00D1626B" w:rsidP="009D7D90">
            <w:pPr>
              <w:spacing w:line="276" w:lineRule="auto"/>
              <w:ind w:right="118"/>
              <w:jc w:val="center"/>
              <w:rPr>
                <w:rStyle w:val="Strong"/>
                <w:rFonts w:ascii="Calibri" w:hAnsi="Calibri" w:cs="Calibri"/>
                <w:b w:val="0"/>
                <w:bCs w:val="0"/>
              </w:rPr>
            </w:pPr>
            <w:r w:rsidRPr="000B0E39">
              <w:rPr>
                <w:rStyle w:val="Strong"/>
                <w:rFonts w:ascii="Calibri" w:hAnsi="Calibri" w:cs="Calibri"/>
                <w:b w:val="0"/>
              </w:rPr>
              <w:t>9.6%</w:t>
            </w:r>
          </w:p>
        </w:tc>
        <w:tc>
          <w:tcPr>
            <w:tcW w:w="1134" w:type="dxa"/>
          </w:tcPr>
          <w:p w14:paraId="75C26D9B" w14:textId="77777777" w:rsidR="00D1626B" w:rsidRPr="000B0E39" w:rsidRDefault="00D1626B" w:rsidP="009D7D90">
            <w:pPr>
              <w:spacing w:line="276" w:lineRule="auto"/>
              <w:ind w:right="118"/>
              <w:jc w:val="center"/>
              <w:rPr>
                <w:rStyle w:val="Strong"/>
                <w:rFonts w:ascii="Calibri" w:hAnsi="Calibri" w:cs="Calibri"/>
                <w:b w:val="0"/>
                <w:bCs w:val="0"/>
              </w:rPr>
            </w:pPr>
            <w:r w:rsidRPr="000B0E39">
              <w:rPr>
                <w:rStyle w:val="Strong"/>
                <w:rFonts w:ascii="Calibri" w:hAnsi="Calibri" w:cs="Calibri"/>
                <w:b w:val="0"/>
              </w:rPr>
              <w:t>11.1%</w:t>
            </w:r>
          </w:p>
        </w:tc>
        <w:tc>
          <w:tcPr>
            <w:tcW w:w="1083" w:type="dxa"/>
          </w:tcPr>
          <w:p w14:paraId="3EF3B790" w14:textId="77777777" w:rsidR="00D1626B" w:rsidRPr="000B0E39" w:rsidRDefault="00D1626B" w:rsidP="009D7D90">
            <w:pPr>
              <w:spacing w:line="276" w:lineRule="auto"/>
              <w:ind w:right="118"/>
              <w:jc w:val="center"/>
              <w:rPr>
                <w:rStyle w:val="Strong"/>
                <w:rFonts w:ascii="Calibri" w:hAnsi="Calibri" w:cs="Calibri"/>
                <w:b w:val="0"/>
                <w:bCs w:val="0"/>
              </w:rPr>
            </w:pPr>
            <w:r w:rsidRPr="000B0E39">
              <w:rPr>
                <w:rStyle w:val="Strong"/>
                <w:rFonts w:ascii="Calibri" w:hAnsi="Calibri" w:cs="Calibri"/>
                <w:b w:val="0"/>
              </w:rPr>
              <w:t>11.3%</w:t>
            </w:r>
          </w:p>
        </w:tc>
      </w:tr>
      <w:tr w:rsidR="008E450A" w:rsidRPr="008E450A" w14:paraId="42C9B070" w14:textId="77777777" w:rsidTr="002741E0">
        <w:tc>
          <w:tcPr>
            <w:tcW w:w="3397" w:type="dxa"/>
          </w:tcPr>
          <w:p w14:paraId="7797CC40" w14:textId="77777777" w:rsidR="00D1626B" w:rsidRPr="000B0E39" w:rsidRDefault="00D1626B" w:rsidP="009D7D90">
            <w:pPr>
              <w:ind w:right="118"/>
              <w:rPr>
                <w:rStyle w:val="Strong"/>
                <w:rFonts w:ascii="Calibri" w:hAnsi="Calibri" w:cs="Calibri"/>
                <w:b w:val="0"/>
                <w:bCs w:val="0"/>
              </w:rPr>
            </w:pPr>
            <w:r w:rsidRPr="000B0E39">
              <w:rPr>
                <w:rStyle w:val="Strong"/>
                <w:rFonts w:ascii="Calibri" w:hAnsi="Calibri" w:cs="Calibri"/>
                <w:b w:val="0"/>
              </w:rPr>
              <w:t>Looking for work</w:t>
            </w:r>
          </w:p>
        </w:tc>
        <w:tc>
          <w:tcPr>
            <w:tcW w:w="1134" w:type="dxa"/>
          </w:tcPr>
          <w:p w14:paraId="1583AD50" w14:textId="77777777" w:rsidR="00D1626B" w:rsidRPr="000B0E39" w:rsidRDefault="00D1626B" w:rsidP="009D7D90">
            <w:pPr>
              <w:ind w:right="118"/>
              <w:jc w:val="center"/>
              <w:rPr>
                <w:rStyle w:val="Strong"/>
                <w:rFonts w:ascii="Calibri" w:hAnsi="Calibri" w:cs="Calibri"/>
                <w:b w:val="0"/>
                <w:bCs w:val="0"/>
              </w:rPr>
            </w:pPr>
            <w:r w:rsidRPr="000B0E39">
              <w:rPr>
                <w:rStyle w:val="Strong"/>
                <w:rFonts w:ascii="Calibri" w:hAnsi="Calibri" w:cs="Calibri"/>
                <w:b w:val="0"/>
              </w:rPr>
              <w:t>3.7%</w:t>
            </w:r>
          </w:p>
        </w:tc>
        <w:tc>
          <w:tcPr>
            <w:tcW w:w="1134" w:type="dxa"/>
          </w:tcPr>
          <w:p w14:paraId="779C857D" w14:textId="77777777" w:rsidR="00D1626B" w:rsidRPr="000B0E39" w:rsidRDefault="00D1626B" w:rsidP="009D7D90">
            <w:pPr>
              <w:ind w:right="118"/>
              <w:jc w:val="center"/>
              <w:rPr>
                <w:rStyle w:val="Strong"/>
                <w:rFonts w:ascii="Calibri" w:hAnsi="Calibri" w:cs="Calibri"/>
                <w:b w:val="0"/>
                <w:bCs w:val="0"/>
              </w:rPr>
            </w:pPr>
            <w:r w:rsidRPr="000B0E39">
              <w:rPr>
                <w:rStyle w:val="Strong"/>
                <w:rFonts w:ascii="Calibri" w:hAnsi="Calibri" w:cs="Calibri"/>
                <w:b w:val="0"/>
              </w:rPr>
              <w:t>3.6%</w:t>
            </w:r>
          </w:p>
        </w:tc>
        <w:tc>
          <w:tcPr>
            <w:tcW w:w="1134" w:type="dxa"/>
          </w:tcPr>
          <w:p w14:paraId="4ABA0BCA" w14:textId="77777777" w:rsidR="00D1626B" w:rsidRPr="000B0E39" w:rsidRDefault="00D1626B" w:rsidP="009D7D90">
            <w:pPr>
              <w:ind w:right="118"/>
              <w:jc w:val="center"/>
              <w:rPr>
                <w:rStyle w:val="Strong"/>
                <w:rFonts w:ascii="Calibri" w:hAnsi="Calibri" w:cs="Calibri"/>
                <w:b w:val="0"/>
                <w:bCs w:val="0"/>
              </w:rPr>
            </w:pPr>
            <w:r w:rsidRPr="000B0E39">
              <w:rPr>
                <w:rStyle w:val="Strong"/>
                <w:rFonts w:ascii="Calibri" w:hAnsi="Calibri" w:cs="Calibri"/>
                <w:b w:val="0"/>
              </w:rPr>
              <w:t>3.3%</w:t>
            </w:r>
          </w:p>
        </w:tc>
        <w:tc>
          <w:tcPr>
            <w:tcW w:w="1134" w:type="dxa"/>
          </w:tcPr>
          <w:p w14:paraId="5E631621" w14:textId="77777777" w:rsidR="00D1626B" w:rsidRPr="000B0E39" w:rsidRDefault="00D1626B" w:rsidP="009D7D90">
            <w:pPr>
              <w:ind w:right="118"/>
              <w:jc w:val="center"/>
              <w:rPr>
                <w:rStyle w:val="Strong"/>
                <w:rFonts w:ascii="Calibri" w:hAnsi="Calibri" w:cs="Calibri"/>
                <w:b w:val="0"/>
                <w:bCs w:val="0"/>
              </w:rPr>
            </w:pPr>
            <w:r w:rsidRPr="000B0E39">
              <w:rPr>
                <w:rStyle w:val="Strong"/>
                <w:rFonts w:ascii="Calibri" w:hAnsi="Calibri" w:cs="Calibri"/>
                <w:b w:val="0"/>
              </w:rPr>
              <w:t>3.4%</w:t>
            </w:r>
          </w:p>
        </w:tc>
        <w:tc>
          <w:tcPr>
            <w:tcW w:w="1083" w:type="dxa"/>
          </w:tcPr>
          <w:p w14:paraId="1A54D059" w14:textId="77777777" w:rsidR="00D1626B" w:rsidRPr="000B0E39" w:rsidRDefault="00D1626B" w:rsidP="009D7D90">
            <w:pPr>
              <w:ind w:right="118"/>
              <w:jc w:val="center"/>
              <w:rPr>
                <w:rStyle w:val="Strong"/>
                <w:rFonts w:ascii="Calibri" w:hAnsi="Calibri" w:cs="Calibri"/>
                <w:b w:val="0"/>
                <w:bCs w:val="0"/>
              </w:rPr>
            </w:pPr>
            <w:r w:rsidRPr="000B0E39">
              <w:rPr>
                <w:rStyle w:val="Strong"/>
                <w:rFonts w:ascii="Calibri" w:hAnsi="Calibri" w:cs="Calibri"/>
                <w:b w:val="0"/>
              </w:rPr>
              <w:t>3.2%</w:t>
            </w:r>
          </w:p>
        </w:tc>
      </w:tr>
      <w:tr w:rsidR="008E450A" w:rsidRPr="008E450A" w14:paraId="49832CA9" w14:textId="77777777" w:rsidTr="002741E0">
        <w:tc>
          <w:tcPr>
            <w:tcW w:w="3397" w:type="dxa"/>
          </w:tcPr>
          <w:p w14:paraId="4E8284D0" w14:textId="77777777" w:rsidR="00D1626B" w:rsidRPr="000B0E39" w:rsidRDefault="00D1626B" w:rsidP="009D7D90">
            <w:pPr>
              <w:ind w:right="118"/>
              <w:rPr>
                <w:rStyle w:val="Strong"/>
                <w:rFonts w:ascii="Calibri" w:hAnsi="Calibri" w:cs="Calibri"/>
                <w:b w:val="0"/>
                <w:bCs w:val="0"/>
              </w:rPr>
            </w:pPr>
            <w:r w:rsidRPr="000B0E39">
              <w:rPr>
                <w:rStyle w:val="Strong"/>
                <w:rFonts w:ascii="Calibri" w:hAnsi="Calibri" w:cs="Calibri"/>
                <w:b w:val="0"/>
              </w:rPr>
              <w:t>Not in labour force, education or training</w:t>
            </w:r>
          </w:p>
        </w:tc>
        <w:tc>
          <w:tcPr>
            <w:tcW w:w="1134" w:type="dxa"/>
          </w:tcPr>
          <w:p w14:paraId="002E0E63" w14:textId="77777777" w:rsidR="00D1626B" w:rsidRPr="000B0E39" w:rsidRDefault="00D1626B" w:rsidP="009D7D90">
            <w:pPr>
              <w:ind w:right="118"/>
              <w:jc w:val="center"/>
              <w:rPr>
                <w:rStyle w:val="Strong"/>
                <w:rFonts w:ascii="Calibri" w:hAnsi="Calibri" w:cs="Calibri"/>
                <w:b w:val="0"/>
                <w:bCs w:val="0"/>
              </w:rPr>
            </w:pPr>
            <w:r w:rsidRPr="000B0E39">
              <w:rPr>
                <w:rStyle w:val="Strong"/>
                <w:rFonts w:ascii="Calibri" w:hAnsi="Calibri" w:cs="Calibri"/>
                <w:b w:val="0"/>
              </w:rPr>
              <w:t>0.4%</w:t>
            </w:r>
          </w:p>
        </w:tc>
        <w:tc>
          <w:tcPr>
            <w:tcW w:w="1134" w:type="dxa"/>
          </w:tcPr>
          <w:p w14:paraId="01EA91E2" w14:textId="77777777" w:rsidR="00D1626B" w:rsidRPr="000B0E39" w:rsidRDefault="00D1626B" w:rsidP="009D7D90">
            <w:pPr>
              <w:ind w:right="118"/>
              <w:jc w:val="center"/>
              <w:rPr>
                <w:rStyle w:val="Strong"/>
                <w:rFonts w:ascii="Calibri" w:hAnsi="Calibri" w:cs="Calibri"/>
                <w:b w:val="0"/>
                <w:bCs w:val="0"/>
              </w:rPr>
            </w:pPr>
            <w:r w:rsidRPr="000B0E39">
              <w:rPr>
                <w:rStyle w:val="Strong"/>
                <w:rFonts w:ascii="Calibri" w:hAnsi="Calibri" w:cs="Calibri"/>
                <w:b w:val="0"/>
              </w:rPr>
              <w:t>0.5%</w:t>
            </w:r>
          </w:p>
        </w:tc>
        <w:tc>
          <w:tcPr>
            <w:tcW w:w="1134" w:type="dxa"/>
          </w:tcPr>
          <w:p w14:paraId="1EEB3B22" w14:textId="77777777" w:rsidR="00D1626B" w:rsidRPr="000B0E39" w:rsidRDefault="00D1626B" w:rsidP="009D7D90">
            <w:pPr>
              <w:ind w:right="118"/>
              <w:jc w:val="center"/>
              <w:rPr>
                <w:rStyle w:val="Strong"/>
                <w:rFonts w:ascii="Calibri" w:hAnsi="Calibri" w:cs="Calibri"/>
                <w:b w:val="0"/>
                <w:bCs w:val="0"/>
              </w:rPr>
            </w:pPr>
            <w:r w:rsidRPr="000B0E39">
              <w:rPr>
                <w:rStyle w:val="Strong"/>
                <w:rFonts w:ascii="Calibri" w:hAnsi="Calibri" w:cs="Calibri"/>
                <w:b w:val="0"/>
              </w:rPr>
              <w:t>0.5%</w:t>
            </w:r>
          </w:p>
        </w:tc>
        <w:tc>
          <w:tcPr>
            <w:tcW w:w="1134" w:type="dxa"/>
          </w:tcPr>
          <w:p w14:paraId="414859C3" w14:textId="77777777" w:rsidR="00D1626B" w:rsidRPr="000B0E39" w:rsidRDefault="00D1626B" w:rsidP="009D7D90">
            <w:pPr>
              <w:ind w:right="118"/>
              <w:jc w:val="center"/>
              <w:rPr>
                <w:rStyle w:val="Strong"/>
                <w:rFonts w:ascii="Calibri" w:hAnsi="Calibri" w:cs="Calibri"/>
                <w:b w:val="0"/>
                <w:bCs w:val="0"/>
              </w:rPr>
            </w:pPr>
            <w:r w:rsidRPr="000B0E39">
              <w:rPr>
                <w:rStyle w:val="Strong"/>
                <w:rFonts w:ascii="Calibri" w:hAnsi="Calibri" w:cs="Calibri"/>
                <w:b w:val="0"/>
              </w:rPr>
              <w:t>0.6%</w:t>
            </w:r>
          </w:p>
        </w:tc>
        <w:tc>
          <w:tcPr>
            <w:tcW w:w="1083" w:type="dxa"/>
          </w:tcPr>
          <w:p w14:paraId="0FA8604D" w14:textId="77777777" w:rsidR="00D1626B" w:rsidRPr="000B0E39" w:rsidRDefault="00D1626B" w:rsidP="009D7D90">
            <w:pPr>
              <w:ind w:right="118"/>
              <w:jc w:val="center"/>
              <w:rPr>
                <w:rStyle w:val="Strong"/>
                <w:rFonts w:ascii="Calibri" w:hAnsi="Calibri" w:cs="Calibri"/>
                <w:b w:val="0"/>
                <w:bCs w:val="0"/>
              </w:rPr>
            </w:pPr>
            <w:r w:rsidRPr="000B0E39">
              <w:rPr>
                <w:rStyle w:val="Strong"/>
                <w:rFonts w:ascii="Calibri" w:hAnsi="Calibri" w:cs="Calibri"/>
                <w:b w:val="0"/>
              </w:rPr>
              <w:t>0.4%</w:t>
            </w:r>
          </w:p>
        </w:tc>
      </w:tr>
    </w:tbl>
    <w:p w14:paraId="0B795FEB" w14:textId="77777777" w:rsidR="008C6857" w:rsidRDefault="008C6857" w:rsidP="002741E0">
      <w:pPr>
        <w:spacing w:after="0"/>
        <w:ind w:left="66" w:right="118"/>
        <w:jc w:val="both"/>
        <w:rPr>
          <w:sz w:val="18"/>
          <w:szCs w:val="18"/>
        </w:rPr>
      </w:pPr>
    </w:p>
    <w:p w14:paraId="48551C32" w14:textId="03DE8AA4" w:rsidR="00D1626B" w:rsidRPr="00FF26FF" w:rsidRDefault="00D1626B" w:rsidP="002741E0">
      <w:pPr>
        <w:spacing w:after="0"/>
        <w:ind w:left="66" w:right="118"/>
        <w:jc w:val="both"/>
        <w:rPr>
          <w:sz w:val="18"/>
          <w:szCs w:val="18"/>
        </w:rPr>
      </w:pPr>
      <w:r w:rsidRPr="00FF26FF">
        <w:rPr>
          <w:sz w:val="18"/>
          <w:szCs w:val="18"/>
        </w:rPr>
        <w:t xml:space="preserve">Source: </w:t>
      </w:r>
      <w:r w:rsidRPr="00FF26FF">
        <w:rPr>
          <w:i/>
          <w:iCs/>
          <w:sz w:val="18"/>
          <w:szCs w:val="18"/>
        </w:rPr>
        <w:t xml:space="preserve">On Track 2018: Destinations of Victorian School Leavers. </w:t>
      </w:r>
      <w:r w:rsidRPr="00FF26FF">
        <w:rPr>
          <w:sz w:val="18"/>
          <w:szCs w:val="18"/>
        </w:rPr>
        <w:t>Education and Training, Victoria State Government.</w:t>
      </w:r>
    </w:p>
    <w:p w14:paraId="04278AFA" w14:textId="77777777" w:rsidR="00D1626B" w:rsidRDefault="00D1626B" w:rsidP="002741E0">
      <w:pPr>
        <w:spacing w:after="0"/>
        <w:ind w:left="66" w:right="118"/>
        <w:rPr>
          <w:sz w:val="18"/>
          <w:szCs w:val="18"/>
        </w:rPr>
      </w:pPr>
      <w:r>
        <w:rPr>
          <w:sz w:val="18"/>
          <w:szCs w:val="18"/>
        </w:rPr>
        <w:t xml:space="preserve">Note:  To reflect diversity data applies to government schools only. </w:t>
      </w:r>
    </w:p>
    <w:p w14:paraId="1C5B6E80" w14:textId="77777777" w:rsidR="00B1145C" w:rsidRDefault="00B1145C" w:rsidP="002741E0">
      <w:pPr>
        <w:spacing w:after="0" w:line="360" w:lineRule="auto"/>
        <w:ind w:left="66" w:right="118"/>
        <w:rPr>
          <w:rStyle w:val="Strong"/>
          <w:color w:val="1F497D" w:themeColor="text2"/>
          <w:sz w:val="24"/>
        </w:rPr>
      </w:pPr>
    </w:p>
    <w:p w14:paraId="2E93D83E" w14:textId="77777777" w:rsidR="00B1145C" w:rsidRDefault="00B1145C">
      <w:pPr>
        <w:rPr>
          <w:rStyle w:val="Strong"/>
          <w:color w:val="1F497D" w:themeColor="text2"/>
          <w:sz w:val="24"/>
        </w:rPr>
      </w:pPr>
      <w:r>
        <w:rPr>
          <w:rStyle w:val="Strong"/>
          <w:color w:val="1F497D" w:themeColor="text2"/>
          <w:sz w:val="24"/>
        </w:rPr>
        <w:br w:type="page"/>
      </w:r>
    </w:p>
    <w:p w14:paraId="56A3667D" w14:textId="7FF4316A" w:rsidR="00D1626B" w:rsidRDefault="002741E0" w:rsidP="002741E0">
      <w:pPr>
        <w:spacing w:after="0" w:line="360" w:lineRule="auto"/>
        <w:ind w:left="66" w:right="118"/>
        <w:rPr>
          <w:rStyle w:val="Strong"/>
          <w:color w:val="1F497D" w:themeColor="text2"/>
          <w:sz w:val="24"/>
        </w:rPr>
      </w:pPr>
      <w:r w:rsidRPr="002741E0">
        <w:rPr>
          <w:rStyle w:val="Strong"/>
          <w:color w:val="1F497D" w:themeColor="text2"/>
          <w:sz w:val="24"/>
        </w:rPr>
        <w:lastRenderedPageBreak/>
        <w:t>T</w:t>
      </w:r>
      <w:r w:rsidR="00E10D85" w:rsidRPr="002741E0">
        <w:rPr>
          <w:rStyle w:val="Strong"/>
          <w:color w:val="1F497D" w:themeColor="text2"/>
          <w:sz w:val="24"/>
        </w:rPr>
        <w:t>ab</w:t>
      </w:r>
      <w:r w:rsidR="00E10D85">
        <w:rPr>
          <w:rStyle w:val="Strong"/>
          <w:color w:val="1F497D" w:themeColor="text2"/>
          <w:sz w:val="24"/>
        </w:rPr>
        <w:t xml:space="preserve">le </w:t>
      </w:r>
      <w:r w:rsidR="00D81EF0">
        <w:rPr>
          <w:rStyle w:val="Strong"/>
          <w:color w:val="1F497D" w:themeColor="text2"/>
          <w:sz w:val="24"/>
        </w:rPr>
        <w:t xml:space="preserve">2 </w:t>
      </w:r>
      <w:r w:rsidR="00D1626B" w:rsidRPr="00523253">
        <w:rPr>
          <w:rStyle w:val="Strong"/>
          <w:color w:val="1F497D" w:themeColor="text2"/>
          <w:sz w:val="24"/>
        </w:rPr>
        <w:t>Destination patterns, Year 12 non-completers</w:t>
      </w:r>
    </w:p>
    <w:p w14:paraId="5618B913" w14:textId="77777777" w:rsidR="00B1145C" w:rsidRDefault="00B1145C" w:rsidP="002741E0">
      <w:pPr>
        <w:spacing w:after="0" w:line="360" w:lineRule="auto"/>
        <w:ind w:left="66" w:right="118"/>
        <w:rPr>
          <w:rStyle w:val="Strong"/>
          <w:color w:val="1F497D" w:themeColor="text2"/>
          <w:sz w:val="24"/>
        </w:rPr>
      </w:pPr>
    </w:p>
    <w:tbl>
      <w:tblPr>
        <w:tblStyle w:val="TableGrid"/>
        <w:tblW w:w="9016" w:type="dxa"/>
        <w:tblInd w:w="66"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3233"/>
        <w:gridCol w:w="1156"/>
        <w:gridCol w:w="1165"/>
        <w:gridCol w:w="1165"/>
        <w:gridCol w:w="1165"/>
        <w:gridCol w:w="1132"/>
      </w:tblGrid>
      <w:tr w:rsidR="00D1626B" w14:paraId="11E479E4" w14:textId="77777777" w:rsidTr="002741E0">
        <w:trPr>
          <w:trHeight w:val="438"/>
        </w:trPr>
        <w:tc>
          <w:tcPr>
            <w:tcW w:w="3233" w:type="dxa"/>
            <w:shd w:val="clear" w:color="auto" w:fill="C6D9F1" w:themeFill="text2" w:themeFillTint="33"/>
            <w:vAlign w:val="center"/>
          </w:tcPr>
          <w:p w14:paraId="559FBAA0" w14:textId="77777777" w:rsidR="00D1626B" w:rsidRPr="00281954" w:rsidRDefault="00D1626B" w:rsidP="008B136E">
            <w:pPr>
              <w:spacing w:line="276" w:lineRule="auto"/>
              <w:ind w:right="118"/>
              <w:rPr>
                <w:rStyle w:val="Strong"/>
                <w:rFonts w:cstheme="minorHAnsi"/>
                <w:b w:val="0"/>
                <w:bCs w:val="0"/>
                <w:color w:val="1F497D" w:themeColor="text2"/>
              </w:rPr>
            </w:pPr>
            <w:r w:rsidRPr="00281954">
              <w:rPr>
                <w:rStyle w:val="Strong"/>
                <w:rFonts w:cstheme="minorHAnsi"/>
                <w:color w:val="1F497D" w:themeColor="text2"/>
              </w:rPr>
              <w:t>Destination</w:t>
            </w:r>
          </w:p>
        </w:tc>
        <w:tc>
          <w:tcPr>
            <w:tcW w:w="1156" w:type="dxa"/>
            <w:shd w:val="clear" w:color="auto" w:fill="C6D9F1" w:themeFill="text2" w:themeFillTint="33"/>
            <w:vAlign w:val="center"/>
          </w:tcPr>
          <w:p w14:paraId="6BC77792" w14:textId="77777777" w:rsidR="00D1626B" w:rsidRPr="00281954" w:rsidRDefault="00D1626B" w:rsidP="008B136E">
            <w:pPr>
              <w:spacing w:line="276" w:lineRule="auto"/>
              <w:ind w:right="118"/>
              <w:jc w:val="center"/>
              <w:rPr>
                <w:rStyle w:val="Strong"/>
                <w:rFonts w:cstheme="minorHAnsi"/>
                <w:b w:val="0"/>
                <w:bCs w:val="0"/>
                <w:color w:val="1F497D" w:themeColor="text2"/>
              </w:rPr>
            </w:pPr>
            <w:r w:rsidRPr="00281954">
              <w:rPr>
                <w:rStyle w:val="Strong"/>
                <w:rFonts w:cstheme="minorHAnsi"/>
                <w:color w:val="1F497D" w:themeColor="text2"/>
              </w:rPr>
              <w:t>2014</w:t>
            </w:r>
          </w:p>
        </w:tc>
        <w:tc>
          <w:tcPr>
            <w:tcW w:w="1165" w:type="dxa"/>
            <w:shd w:val="clear" w:color="auto" w:fill="C6D9F1" w:themeFill="text2" w:themeFillTint="33"/>
            <w:vAlign w:val="center"/>
          </w:tcPr>
          <w:p w14:paraId="5E430802" w14:textId="77777777" w:rsidR="00D1626B" w:rsidRPr="00281954" w:rsidRDefault="00D1626B" w:rsidP="008B136E">
            <w:pPr>
              <w:spacing w:line="276" w:lineRule="auto"/>
              <w:ind w:right="118"/>
              <w:jc w:val="center"/>
              <w:rPr>
                <w:rStyle w:val="Strong"/>
                <w:rFonts w:cstheme="minorHAnsi"/>
                <w:b w:val="0"/>
                <w:bCs w:val="0"/>
                <w:color w:val="1F497D" w:themeColor="text2"/>
              </w:rPr>
            </w:pPr>
            <w:r w:rsidRPr="00281954">
              <w:rPr>
                <w:rStyle w:val="Strong"/>
                <w:rFonts w:cstheme="minorHAnsi"/>
                <w:color w:val="1F497D" w:themeColor="text2"/>
              </w:rPr>
              <w:t>2015</w:t>
            </w:r>
          </w:p>
        </w:tc>
        <w:tc>
          <w:tcPr>
            <w:tcW w:w="1165" w:type="dxa"/>
            <w:shd w:val="clear" w:color="auto" w:fill="C6D9F1" w:themeFill="text2" w:themeFillTint="33"/>
            <w:vAlign w:val="center"/>
          </w:tcPr>
          <w:p w14:paraId="4C972B30" w14:textId="77777777" w:rsidR="00D1626B" w:rsidRPr="00281954" w:rsidRDefault="00D1626B" w:rsidP="008B136E">
            <w:pPr>
              <w:spacing w:line="276" w:lineRule="auto"/>
              <w:ind w:right="118"/>
              <w:jc w:val="center"/>
              <w:rPr>
                <w:rStyle w:val="Strong"/>
                <w:rFonts w:cstheme="minorHAnsi"/>
                <w:b w:val="0"/>
                <w:bCs w:val="0"/>
                <w:color w:val="1F497D" w:themeColor="text2"/>
              </w:rPr>
            </w:pPr>
            <w:r w:rsidRPr="00281954">
              <w:rPr>
                <w:rStyle w:val="Strong"/>
                <w:rFonts w:cstheme="minorHAnsi"/>
                <w:color w:val="1F497D" w:themeColor="text2"/>
              </w:rPr>
              <w:t>2016</w:t>
            </w:r>
          </w:p>
        </w:tc>
        <w:tc>
          <w:tcPr>
            <w:tcW w:w="1165" w:type="dxa"/>
            <w:shd w:val="clear" w:color="auto" w:fill="C6D9F1" w:themeFill="text2" w:themeFillTint="33"/>
            <w:vAlign w:val="center"/>
          </w:tcPr>
          <w:p w14:paraId="5E60B0F2" w14:textId="77777777" w:rsidR="00D1626B" w:rsidRPr="00281954" w:rsidRDefault="00D1626B" w:rsidP="008B136E">
            <w:pPr>
              <w:spacing w:line="276" w:lineRule="auto"/>
              <w:ind w:right="118"/>
              <w:jc w:val="center"/>
              <w:rPr>
                <w:rStyle w:val="Strong"/>
                <w:rFonts w:cstheme="minorHAnsi"/>
                <w:b w:val="0"/>
                <w:bCs w:val="0"/>
                <w:color w:val="1F497D" w:themeColor="text2"/>
              </w:rPr>
            </w:pPr>
            <w:r w:rsidRPr="00281954">
              <w:rPr>
                <w:rStyle w:val="Strong"/>
                <w:rFonts w:cstheme="minorHAnsi"/>
                <w:color w:val="1F497D" w:themeColor="text2"/>
              </w:rPr>
              <w:t>2017</w:t>
            </w:r>
          </w:p>
        </w:tc>
        <w:tc>
          <w:tcPr>
            <w:tcW w:w="1132" w:type="dxa"/>
            <w:shd w:val="clear" w:color="auto" w:fill="B8CCE4" w:themeFill="accent1" w:themeFillTint="66"/>
            <w:vAlign w:val="center"/>
          </w:tcPr>
          <w:p w14:paraId="3E710BF5" w14:textId="77777777" w:rsidR="00D1626B" w:rsidRPr="00281954" w:rsidRDefault="00D1626B" w:rsidP="008B136E">
            <w:pPr>
              <w:spacing w:line="276" w:lineRule="auto"/>
              <w:ind w:right="118"/>
              <w:jc w:val="center"/>
              <w:rPr>
                <w:rStyle w:val="Strong"/>
                <w:rFonts w:cstheme="minorHAnsi"/>
                <w:b w:val="0"/>
                <w:bCs w:val="0"/>
                <w:color w:val="1F497D" w:themeColor="text2"/>
              </w:rPr>
            </w:pPr>
            <w:r w:rsidRPr="00281954">
              <w:rPr>
                <w:rStyle w:val="Strong"/>
                <w:rFonts w:cstheme="minorHAnsi"/>
                <w:color w:val="1F497D" w:themeColor="text2"/>
              </w:rPr>
              <w:t>2018</w:t>
            </w:r>
          </w:p>
        </w:tc>
      </w:tr>
      <w:tr w:rsidR="00D1626B" w:rsidRPr="007975D4" w14:paraId="786F07DB" w14:textId="77777777" w:rsidTr="002741E0">
        <w:tc>
          <w:tcPr>
            <w:tcW w:w="3233" w:type="dxa"/>
          </w:tcPr>
          <w:p w14:paraId="0524E909" w14:textId="77777777" w:rsidR="00D1626B" w:rsidRPr="00D1626B" w:rsidRDefault="00D1626B" w:rsidP="009D7D90">
            <w:pPr>
              <w:spacing w:line="276" w:lineRule="auto"/>
              <w:ind w:right="118"/>
              <w:rPr>
                <w:rStyle w:val="Strong"/>
                <w:rFonts w:ascii="Calibri" w:hAnsi="Calibri" w:cs="Calibri"/>
                <w:b w:val="0"/>
                <w:bCs w:val="0"/>
              </w:rPr>
            </w:pPr>
            <w:r w:rsidRPr="00D1626B">
              <w:rPr>
                <w:rStyle w:val="Strong"/>
                <w:rFonts w:ascii="Calibri" w:hAnsi="Calibri" w:cs="Calibri"/>
                <w:b w:val="0"/>
              </w:rPr>
              <w:t>Bachelor degree</w:t>
            </w:r>
          </w:p>
        </w:tc>
        <w:tc>
          <w:tcPr>
            <w:tcW w:w="1156" w:type="dxa"/>
          </w:tcPr>
          <w:p w14:paraId="740CC380" w14:textId="77777777" w:rsidR="00D1626B" w:rsidRPr="00D1626B" w:rsidRDefault="00D1626B" w:rsidP="009D7D90">
            <w:pPr>
              <w:spacing w:line="276" w:lineRule="auto"/>
              <w:ind w:right="118"/>
              <w:jc w:val="center"/>
              <w:rPr>
                <w:rStyle w:val="Strong"/>
                <w:rFonts w:ascii="Calibri" w:hAnsi="Calibri" w:cs="Calibri"/>
                <w:b w:val="0"/>
                <w:bCs w:val="0"/>
              </w:rPr>
            </w:pPr>
            <w:r w:rsidRPr="00D1626B">
              <w:rPr>
                <w:rStyle w:val="Strong"/>
                <w:rFonts w:ascii="Calibri" w:hAnsi="Calibri" w:cs="Calibri"/>
                <w:b w:val="0"/>
              </w:rPr>
              <w:t>0.7%</w:t>
            </w:r>
          </w:p>
        </w:tc>
        <w:tc>
          <w:tcPr>
            <w:tcW w:w="1165" w:type="dxa"/>
          </w:tcPr>
          <w:p w14:paraId="28B4FF69" w14:textId="77777777" w:rsidR="00D1626B" w:rsidRPr="00D1626B" w:rsidRDefault="00D1626B" w:rsidP="009D7D90">
            <w:pPr>
              <w:spacing w:line="276" w:lineRule="auto"/>
              <w:ind w:right="118"/>
              <w:jc w:val="center"/>
              <w:rPr>
                <w:rStyle w:val="Strong"/>
                <w:rFonts w:ascii="Calibri" w:hAnsi="Calibri" w:cs="Calibri"/>
                <w:b w:val="0"/>
                <w:bCs w:val="0"/>
              </w:rPr>
            </w:pPr>
            <w:r w:rsidRPr="00D1626B">
              <w:rPr>
                <w:rStyle w:val="Strong"/>
                <w:rFonts w:ascii="Calibri" w:hAnsi="Calibri" w:cs="Calibri"/>
                <w:b w:val="0"/>
              </w:rPr>
              <w:t>0.9%</w:t>
            </w:r>
          </w:p>
        </w:tc>
        <w:tc>
          <w:tcPr>
            <w:tcW w:w="1165" w:type="dxa"/>
          </w:tcPr>
          <w:p w14:paraId="42B72700" w14:textId="77777777" w:rsidR="00D1626B" w:rsidRPr="00D1626B" w:rsidRDefault="00D1626B" w:rsidP="009D7D90">
            <w:pPr>
              <w:spacing w:line="276" w:lineRule="auto"/>
              <w:ind w:right="118"/>
              <w:jc w:val="center"/>
              <w:rPr>
                <w:rStyle w:val="Strong"/>
                <w:rFonts w:ascii="Calibri" w:hAnsi="Calibri" w:cs="Calibri"/>
                <w:b w:val="0"/>
                <w:bCs w:val="0"/>
              </w:rPr>
            </w:pPr>
            <w:r w:rsidRPr="00D1626B">
              <w:rPr>
                <w:rStyle w:val="Strong"/>
                <w:rFonts w:ascii="Calibri" w:hAnsi="Calibri" w:cs="Calibri"/>
                <w:b w:val="0"/>
              </w:rPr>
              <w:t>0.7%</w:t>
            </w:r>
          </w:p>
        </w:tc>
        <w:tc>
          <w:tcPr>
            <w:tcW w:w="1165" w:type="dxa"/>
          </w:tcPr>
          <w:p w14:paraId="07600C43" w14:textId="77777777" w:rsidR="00D1626B" w:rsidRPr="00D1626B" w:rsidRDefault="00D1626B" w:rsidP="009D7D90">
            <w:pPr>
              <w:spacing w:line="276" w:lineRule="auto"/>
              <w:ind w:right="118"/>
              <w:jc w:val="center"/>
              <w:rPr>
                <w:rStyle w:val="Strong"/>
                <w:rFonts w:ascii="Calibri" w:hAnsi="Calibri" w:cs="Calibri"/>
                <w:b w:val="0"/>
                <w:bCs w:val="0"/>
              </w:rPr>
            </w:pPr>
            <w:r w:rsidRPr="00D1626B">
              <w:rPr>
                <w:rStyle w:val="Strong"/>
                <w:rFonts w:ascii="Calibri" w:hAnsi="Calibri" w:cs="Calibri"/>
                <w:b w:val="0"/>
              </w:rPr>
              <w:t>0.8%</w:t>
            </w:r>
          </w:p>
        </w:tc>
        <w:tc>
          <w:tcPr>
            <w:tcW w:w="1132" w:type="dxa"/>
          </w:tcPr>
          <w:p w14:paraId="0AC310FA" w14:textId="77777777" w:rsidR="00D1626B" w:rsidRPr="00D1626B" w:rsidRDefault="00D1626B" w:rsidP="009D7D90">
            <w:pPr>
              <w:spacing w:line="276" w:lineRule="auto"/>
              <w:ind w:right="118"/>
              <w:jc w:val="center"/>
              <w:rPr>
                <w:rStyle w:val="Strong"/>
                <w:rFonts w:ascii="Calibri" w:hAnsi="Calibri" w:cs="Calibri"/>
                <w:b w:val="0"/>
                <w:bCs w:val="0"/>
              </w:rPr>
            </w:pPr>
            <w:r w:rsidRPr="00D1626B">
              <w:rPr>
                <w:rStyle w:val="Strong"/>
                <w:rFonts w:ascii="Calibri" w:hAnsi="Calibri" w:cs="Calibri"/>
                <w:b w:val="0"/>
              </w:rPr>
              <w:t>0.9%</w:t>
            </w:r>
          </w:p>
        </w:tc>
      </w:tr>
      <w:tr w:rsidR="00D1626B" w:rsidRPr="007975D4" w14:paraId="26C3AFB5" w14:textId="77777777" w:rsidTr="002741E0">
        <w:tc>
          <w:tcPr>
            <w:tcW w:w="3233" w:type="dxa"/>
          </w:tcPr>
          <w:p w14:paraId="568D4FDF" w14:textId="77777777" w:rsidR="00D1626B" w:rsidRPr="00D1626B" w:rsidRDefault="00D1626B" w:rsidP="009D7D90">
            <w:pPr>
              <w:spacing w:line="276" w:lineRule="auto"/>
              <w:ind w:right="118"/>
              <w:rPr>
                <w:rStyle w:val="Strong"/>
                <w:rFonts w:ascii="Calibri" w:hAnsi="Calibri" w:cs="Calibri"/>
                <w:b w:val="0"/>
                <w:bCs w:val="0"/>
              </w:rPr>
            </w:pPr>
            <w:r w:rsidRPr="00D1626B">
              <w:rPr>
                <w:rStyle w:val="Strong"/>
                <w:rFonts w:ascii="Calibri" w:hAnsi="Calibri" w:cs="Calibri"/>
                <w:b w:val="0"/>
              </w:rPr>
              <w:t>Certificate/Diploma</w:t>
            </w:r>
          </w:p>
        </w:tc>
        <w:tc>
          <w:tcPr>
            <w:tcW w:w="1156" w:type="dxa"/>
          </w:tcPr>
          <w:p w14:paraId="063E0CD6" w14:textId="77777777" w:rsidR="00D1626B" w:rsidRPr="00D1626B" w:rsidRDefault="00D1626B" w:rsidP="009D7D90">
            <w:pPr>
              <w:spacing w:line="276" w:lineRule="auto"/>
              <w:ind w:right="118"/>
              <w:jc w:val="center"/>
              <w:rPr>
                <w:rStyle w:val="Strong"/>
                <w:rFonts w:ascii="Calibri" w:hAnsi="Calibri" w:cs="Calibri"/>
                <w:b w:val="0"/>
                <w:bCs w:val="0"/>
              </w:rPr>
            </w:pPr>
            <w:r w:rsidRPr="00D1626B">
              <w:rPr>
                <w:rStyle w:val="Strong"/>
                <w:rFonts w:ascii="Calibri" w:hAnsi="Calibri" w:cs="Calibri"/>
                <w:b w:val="0"/>
              </w:rPr>
              <w:t>28.1%</w:t>
            </w:r>
          </w:p>
        </w:tc>
        <w:tc>
          <w:tcPr>
            <w:tcW w:w="1165" w:type="dxa"/>
          </w:tcPr>
          <w:p w14:paraId="157F13A9" w14:textId="77777777" w:rsidR="00D1626B" w:rsidRPr="00D1626B" w:rsidRDefault="00D1626B" w:rsidP="009D7D90">
            <w:pPr>
              <w:spacing w:line="276" w:lineRule="auto"/>
              <w:ind w:right="118"/>
              <w:jc w:val="center"/>
              <w:rPr>
                <w:rStyle w:val="Strong"/>
                <w:rFonts w:ascii="Calibri" w:hAnsi="Calibri" w:cs="Calibri"/>
                <w:b w:val="0"/>
                <w:bCs w:val="0"/>
              </w:rPr>
            </w:pPr>
            <w:r w:rsidRPr="00D1626B">
              <w:rPr>
                <w:rStyle w:val="Strong"/>
                <w:rFonts w:ascii="Calibri" w:hAnsi="Calibri" w:cs="Calibri"/>
                <w:b w:val="0"/>
              </w:rPr>
              <w:t>25.8%</w:t>
            </w:r>
          </w:p>
        </w:tc>
        <w:tc>
          <w:tcPr>
            <w:tcW w:w="1165" w:type="dxa"/>
          </w:tcPr>
          <w:p w14:paraId="4721EA6C" w14:textId="77777777" w:rsidR="00D1626B" w:rsidRPr="00D1626B" w:rsidRDefault="00D1626B" w:rsidP="009D7D90">
            <w:pPr>
              <w:spacing w:line="276" w:lineRule="auto"/>
              <w:ind w:right="118"/>
              <w:jc w:val="center"/>
              <w:rPr>
                <w:rStyle w:val="Strong"/>
                <w:rFonts w:ascii="Calibri" w:hAnsi="Calibri" w:cs="Calibri"/>
                <w:b w:val="0"/>
                <w:bCs w:val="0"/>
              </w:rPr>
            </w:pPr>
            <w:r w:rsidRPr="00D1626B">
              <w:rPr>
                <w:rStyle w:val="Strong"/>
                <w:rFonts w:ascii="Calibri" w:hAnsi="Calibri" w:cs="Calibri"/>
                <w:b w:val="0"/>
              </w:rPr>
              <w:t>23.6%</w:t>
            </w:r>
          </w:p>
        </w:tc>
        <w:tc>
          <w:tcPr>
            <w:tcW w:w="1165" w:type="dxa"/>
          </w:tcPr>
          <w:p w14:paraId="7B2B1BA1" w14:textId="77777777" w:rsidR="00D1626B" w:rsidRPr="00D1626B" w:rsidRDefault="00D1626B" w:rsidP="009D7D90">
            <w:pPr>
              <w:spacing w:line="276" w:lineRule="auto"/>
              <w:ind w:right="118"/>
              <w:jc w:val="center"/>
              <w:rPr>
                <w:rStyle w:val="Strong"/>
                <w:rFonts w:ascii="Calibri" w:hAnsi="Calibri" w:cs="Calibri"/>
                <w:b w:val="0"/>
                <w:bCs w:val="0"/>
              </w:rPr>
            </w:pPr>
            <w:r w:rsidRPr="00D1626B">
              <w:rPr>
                <w:rStyle w:val="Strong"/>
                <w:rFonts w:ascii="Calibri" w:hAnsi="Calibri" w:cs="Calibri"/>
                <w:b w:val="0"/>
              </w:rPr>
              <w:t>18.9%</w:t>
            </w:r>
          </w:p>
        </w:tc>
        <w:tc>
          <w:tcPr>
            <w:tcW w:w="1132" w:type="dxa"/>
          </w:tcPr>
          <w:p w14:paraId="3FCFECFE" w14:textId="77777777" w:rsidR="00D1626B" w:rsidRPr="00D1626B" w:rsidRDefault="00D1626B" w:rsidP="009D7D90">
            <w:pPr>
              <w:spacing w:line="276" w:lineRule="auto"/>
              <w:ind w:right="118"/>
              <w:jc w:val="center"/>
              <w:rPr>
                <w:rStyle w:val="Strong"/>
                <w:rFonts w:ascii="Calibri" w:hAnsi="Calibri" w:cs="Calibri"/>
                <w:b w:val="0"/>
                <w:bCs w:val="0"/>
              </w:rPr>
            </w:pPr>
            <w:r w:rsidRPr="00D1626B">
              <w:rPr>
                <w:rStyle w:val="Strong"/>
                <w:rFonts w:ascii="Calibri" w:hAnsi="Calibri" w:cs="Calibri"/>
                <w:b w:val="0"/>
              </w:rPr>
              <w:t>19.5%</w:t>
            </w:r>
          </w:p>
        </w:tc>
      </w:tr>
      <w:tr w:rsidR="00D1626B" w:rsidRPr="007975D4" w14:paraId="239636F2" w14:textId="77777777" w:rsidTr="002741E0">
        <w:tc>
          <w:tcPr>
            <w:tcW w:w="3233" w:type="dxa"/>
          </w:tcPr>
          <w:p w14:paraId="3C3867A7" w14:textId="77777777" w:rsidR="00D1626B" w:rsidRPr="00D1626B" w:rsidRDefault="00D1626B" w:rsidP="009D7D90">
            <w:pPr>
              <w:spacing w:line="276" w:lineRule="auto"/>
              <w:ind w:right="118"/>
              <w:rPr>
                <w:rStyle w:val="Strong"/>
                <w:rFonts w:ascii="Calibri" w:hAnsi="Calibri" w:cs="Calibri"/>
                <w:b w:val="0"/>
                <w:bCs w:val="0"/>
              </w:rPr>
            </w:pPr>
            <w:r w:rsidRPr="00D1626B">
              <w:rPr>
                <w:rStyle w:val="Strong"/>
                <w:rFonts w:ascii="Calibri" w:hAnsi="Calibri" w:cs="Calibri"/>
                <w:b w:val="0"/>
              </w:rPr>
              <w:t>Apprenticeship/Traineeship</w:t>
            </w:r>
          </w:p>
        </w:tc>
        <w:tc>
          <w:tcPr>
            <w:tcW w:w="1156" w:type="dxa"/>
          </w:tcPr>
          <w:p w14:paraId="5AED54A6" w14:textId="77777777" w:rsidR="00D1626B" w:rsidRPr="00D1626B" w:rsidRDefault="00D1626B" w:rsidP="009D7D90">
            <w:pPr>
              <w:spacing w:line="276" w:lineRule="auto"/>
              <w:ind w:right="118"/>
              <w:jc w:val="center"/>
              <w:rPr>
                <w:rStyle w:val="Strong"/>
                <w:rFonts w:ascii="Calibri" w:hAnsi="Calibri" w:cs="Calibri"/>
                <w:b w:val="0"/>
                <w:bCs w:val="0"/>
              </w:rPr>
            </w:pPr>
            <w:r w:rsidRPr="00D1626B">
              <w:rPr>
                <w:rStyle w:val="Strong"/>
                <w:rFonts w:ascii="Calibri" w:hAnsi="Calibri" w:cs="Calibri"/>
                <w:b w:val="0"/>
              </w:rPr>
              <w:t>25.1%</w:t>
            </w:r>
          </w:p>
        </w:tc>
        <w:tc>
          <w:tcPr>
            <w:tcW w:w="1165" w:type="dxa"/>
          </w:tcPr>
          <w:p w14:paraId="5DD53C1F" w14:textId="77777777" w:rsidR="00D1626B" w:rsidRPr="00D1626B" w:rsidRDefault="00D1626B" w:rsidP="009D7D90">
            <w:pPr>
              <w:spacing w:line="276" w:lineRule="auto"/>
              <w:ind w:right="118"/>
              <w:jc w:val="center"/>
              <w:rPr>
                <w:rStyle w:val="Strong"/>
                <w:rFonts w:ascii="Calibri" w:hAnsi="Calibri" w:cs="Calibri"/>
                <w:b w:val="0"/>
                <w:bCs w:val="0"/>
              </w:rPr>
            </w:pPr>
            <w:r w:rsidRPr="00D1626B">
              <w:rPr>
                <w:rStyle w:val="Strong"/>
                <w:rFonts w:ascii="Calibri" w:hAnsi="Calibri" w:cs="Calibri"/>
                <w:b w:val="0"/>
              </w:rPr>
              <w:t>28.2%</w:t>
            </w:r>
          </w:p>
        </w:tc>
        <w:tc>
          <w:tcPr>
            <w:tcW w:w="1165" w:type="dxa"/>
          </w:tcPr>
          <w:p w14:paraId="5870469B" w14:textId="77777777" w:rsidR="00D1626B" w:rsidRPr="00D1626B" w:rsidRDefault="00D1626B" w:rsidP="009D7D90">
            <w:pPr>
              <w:spacing w:line="276" w:lineRule="auto"/>
              <w:ind w:right="118"/>
              <w:jc w:val="center"/>
              <w:rPr>
                <w:rStyle w:val="Strong"/>
                <w:rFonts w:ascii="Calibri" w:hAnsi="Calibri" w:cs="Calibri"/>
                <w:b w:val="0"/>
                <w:bCs w:val="0"/>
              </w:rPr>
            </w:pPr>
            <w:r w:rsidRPr="00D1626B">
              <w:rPr>
                <w:rStyle w:val="Strong"/>
                <w:rFonts w:ascii="Calibri" w:hAnsi="Calibri" w:cs="Calibri"/>
                <w:b w:val="0"/>
              </w:rPr>
              <w:t>29.6%</w:t>
            </w:r>
          </w:p>
        </w:tc>
        <w:tc>
          <w:tcPr>
            <w:tcW w:w="1165" w:type="dxa"/>
          </w:tcPr>
          <w:p w14:paraId="66517DE0" w14:textId="77777777" w:rsidR="00D1626B" w:rsidRPr="00D1626B" w:rsidRDefault="00D1626B" w:rsidP="009D7D90">
            <w:pPr>
              <w:spacing w:line="276" w:lineRule="auto"/>
              <w:ind w:right="118"/>
              <w:jc w:val="center"/>
              <w:rPr>
                <w:rStyle w:val="Strong"/>
                <w:rFonts w:ascii="Calibri" w:hAnsi="Calibri" w:cs="Calibri"/>
                <w:b w:val="0"/>
                <w:bCs w:val="0"/>
              </w:rPr>
            </w:pPr>
            <w:r w:rsidRPr="00D1626B">
              <w:rPr>
                <w:rStyle w:val="Strong"/>
                <w:rFonts w:ascii="Calibri" w:hAnsi="Calibri" w:cs="Calibri"/>
                <w:b w:val="0"/>
              </w:rPr>
              <w:t>31.6%</w:t>
            </w:r>
          </w:p>
        </w:tc>
        <w:tc>
          <w:tcPr>
            <w:tcW w:w="1132" w:type="dxa"/>
          </w:tcPr>
          <w:p w14:paraId="5F56E4D9" w14:textId="77777777" w:rsidR="00D1626B" w:rsidRPr="00D1626B" w:rsidRDefault="00D1626B" w:rsidP="009D7D90">
            <w:pPr>
              <w:spacing w:line="276" w:lineRule="auto"/>
              <w:ind w:right="118"/>
              <w:jc w:val="center"/>
              <w:rPr>
                <w:rStyle w:val="Strong"/>
                <w:rFonts w:ascii="Calibri" w:hAnsi="Calibri" w:cs="Calibri"/>
                <w:b w:val="0"/>
                <w:bCs w:val="0"/>
              </w:rPr>
            </w:pPr>
            <w:r w:rsidRPr="00D1626B">
              <w:rPr>
                <w:rStyle w:val="Strong"/>
                <w:rFonts w:ascii="Calibri" w:hAnsi="Calibri" w:cs="Calibri"/>
                <w:b w:val="0"/>
              </w:rPr>
              <w:t>32.1%</w:t>
            </w:r>
          </w:p>
        </w:tc>
      </w:tr>
      <w:tr w:rsidR="00D1626B" w:rsidRPr="007975D4" w14:paraId="3762EA22" w14:textId="77777777" w:rsidTr="002741E0">
        <w:tc>
          <w:tcPr>
            <w:tcW w:w="3233" w:type="dxa"/>
          </w:tcPr>
          <w:p w14:paraId="54C69AC9" w14:textId="77777777" w:rsidR="00D1626B" w:rsidRPr="00D1626B" w:rsidRDefault="00D1626B" w:rsidP="009D7D90">
            <w:pPr>
              <w:spacing w:line="276" w:lineRule="auto"/>
              <w:ind w:right="118"/>
              <w:rPr>
                <w:rStyle w:val="Strong"/>
                <w:rFonts w:ascii="Calibri" w:hAnsi="Calibri" w:cs="Calibri"/>
                <w:b w:val="0"/>
                <w:bCs w:val="0"/>
              </w:rPr>
            </w:pPr>
            <w:r w:rsidRPr="00D1626B">
              <w:rPr>
                <w:rStyle w:val="Strong"/>
                <w:rFonts w:ascii="Calibri" w:hAnsi="Calibri" w:cs="Calibri"/>
                <w:b w:val="0"/>
              </w:rPr>
              <w:t>Employed</w:t>
            </w:r>
          </w:p>
        </w:tc>
        <w:tc>
          <w:tcPr>
            <w:tcW w:w="1156" w:type="dxa"/>
          </w:tcPr>
          <w:p w14:paraId="622CE5B0" w14:textId="77777777" w:rsidR="00D1626B" w:rsidRPr="00D1626B" w:rsidRDefault="00D1626B" w:rsidP="009D7D90">
            <w:pPr>
              <w:spacing w:line="276" w:lineRule="auto"/>
              <w:ind w:right="118"/>
              <w:jc w:val="center"/>
              <w:rPr>
                <w:rStyle w:val="Strong"/>
                <w:rFonts w:ascii="Calibri" w:hAnsi="Calibri" w:cs="Calibri"/>
                <w:b w:val="0"/>
                <w:bCs w:val="0"/>
              </w:rPr>
            </w:pPr>
            <w:r w:rsidRPr="00D1626B">
              <w:rPr>
                <w:rStyle w:val="Strong"/>
                <w:rFonts w:ascii="Calibri" w:hAnsi="Calibri" w:cs="Calibri"/>
                <w:b w:val="0"/>
              </w:rPr>
              <w:t>23.9%</w:t>
            </w:r>
          </w:p>
        </w:tc>
        <w:tc>
          <w:tcPr>
            <w:tcW w:w="1165" w:type="dxa"/>
          </w:tcPr>
          <w:p w14:paraId="6F747484" w14:textId="77777777" w:rsidR="00D1626B" w:rsidRPr="00D1626B" w:rsidRDefault="00D1626B" w:rsidP="009D7D90">
            <w:pPr>
              <w:spacing w:line="276" w:lineRule="auto"/>
              <w:ind w:right="118"/>
              <w:jc w:val="center"/>
              <w:rPr>
                <w:rStyle w:val="Strong"/>
                <w:rFonts w:ascii="Calibri" w:hAnsi="Calibri" w:cs="Calibri"/>
                <w:b w:val="0"/>
                <w:bCs w:val="0"/>
              </w:rPr>
            </w:pPr>
            <w:r w:rsidRPr="00D1626B">
              <w:rPr>
                <w:rStyle w:val="Strong"/>
                <w:rFonts w:ascii="Calibri" w:hAnsi="Calibri" w:cs="Calibri"/>
                <w:b w:val="0"/>
              </w:rPr>
              <w:t>23.7%</w:t>
            </w:r>
          </w:p>
        </w:tc>
        <w:tc>
          <w:tcPr>
            <w:tcW w:w="1165" w:type="dxa"/>
          </w:tcPr>
          <w:p w14:paraId="61A6D527" w14:textId="77777777" w:rsidR="00D1626B" w:rsidRPr="00D1626B" w:rsidRDefault="00D1626B" w:rsidP="009D7D90">
            <w:pPr>
              <w:spacing w:line="276" w:lineRule="auto"/>
              <w:ind w:right="118"/>
              <w:jc w:val="center"/>
              <w:rPr>
                <w:rStyle w:val="Strong"/>
                <w:rFonts w:ascii="Calibri" w:hAnsi="Calibri" w:cs="Calibri"/>
                <w:b w:val="0"/>
                <w:bCs w:val="0"/>
              </w:rPr>
            </w:pPr>
            <w:r w:rsidRPr="00D1626B">
              <w:rPr>
                <w:rStyle w:val="Strong"/>
                <w:rFonts w:ascii="Calibri" w:hAnsi="Calibri" w:cs="Calibri"/>
                <w:b w:val="0"/>
              </w:rPr>
              <w:t>24.0%</w:t>
            </w:r>
          </w:p>
        </w:tc>
        <w:tc>
          <w:tcPr>
            <w:tcW w:w="1165" w:type="dxa"/>
          </w:tcPr>
          <w:p w14:paraId="584C13E8" w14:textId="77777777" w:rsidR="00D1626B" w:rsidRPr="00D1626B" w:rsidRDefault="00D1626B" w:rsidP="009D7D90">
            <w:pPr>
              <w:spacing w:line="276" w:lineRule="auto"/>
              <w:ind w:right="118"/>
              <w:jc w:val="center"/>
              <w:rPr>
                <w:rStyle w:val="Strong"/>
                <w:rFonts w:ascii="Calibri" w:hAnsi="Calibri" w:cs="Calibri"/>
                <w:b w:val="0"/>
                <w:bCs w:val="0"/>
              </w:rPr>
            </w:pPr>
            <w:r w:rsidRPr="00D1626B">
              <w:rPr>
                <w:rStyle w:val="Strong"/>
                <w:rFonts w:ascii="Calibri" w:hAnsi="Calibri" w:cs="Calibri"/>
                <w:b w:val="0"/>
              </w:rPr>
              <w:t>25.8%</w:t>
            </w:r>
          </w:p>
        </w:tc>
        <w:tc>
          <w:tcPr>
            <w:tcW w:w="1132" w:type="dxa"/>
          </w:tcPr>
          <w:p w14:paraId="79A483D8" w14:textId="77777777" w:rsidR="00D1626B" w:rsidRPr="00D1626B" w:rsidRDefault="00D1626B" w:rsidP="009D7D90">
            <w:pPr>
              <w:spacing w:line="276" w:lineRule="auto"/>
              <w:ind w:right="118"/>
              <w:jc w:val="center"/>
              <w:rPr>
                <w:rStyle w:val="Strong"/>
                <w:rFonts w:ascii="Calibri" w:hAnsi="Calibri" w:cs="Calibri"/>
                <w:b w:val="0"/>
                <w:bCs w:val="0"/>
              </w:rPr>
            </w:pPr>
            <w:r w:rsidRPr="00D1626B">
              <w:rPr>
                <w:rStyle w:val="Strong"/>
                <w:rFonts w:ascii="Calibri" w:hAnsi="Calibri" w:cs="Calibri"/>
                <w:b w:val="0"/>
              </w:rPr>
              <w:t>27.5%</w:t>
            </w:r>
          </w:p>
        </w:tc>
      </w:tr>
      <w:tr w:rsidR="00D1626B" w:rsidRPr="007975D4" w14:paraId="24852284" w14:textId="77777777" w:rsidTr="002741E0">
        <w:tc>
          <w:tcPr>
            <w:tcW w:w="3233" w:type="dxa"/>
          </w:tcPr>
          <w:p w14:paraId="68BCED25" w14:textId="77777777" w:rsidR="00D1626B" w:rsidRPr="00D1626B" w:rsidRDefault="00D1626B" w:rsidP="009D7D90">
            <w:pPr>
              <w:spacing w:line="276" w:lineRule="auto"/>
              <w:ind w:right="118"/>
              <w:rPr>
                <w:rStyle w:val="Strong"/>
                <w:rFonts w:ascii="Calibri" w:hAnsi="Calibri" w:cs="Calibri"/>
                <w:b w:val="0"/>
                <w:bCs w:val="0"/>
              </w:rPr>
            </w:pPr>
            <w:r w:rsidRPr="00D1626B">
              <w:rPr>
                <w:rStyle w:val="Strong"/>
                <w:rFonts w:ascii="Calibri" w:hAnsi="Calibri" w:cs="Calibri"/>
                <w:b w:val="0"/>
              </w:rPr>
              <w:t>Looking for work</w:t>
            </w:r>
          </w:p>
        </w:tc>
        <w:tc>
          <w:tcPr>
            <w:tcW w:w="1156" w:type="dxa"/>
          </w:tcPr>
          <w:p w14:paraId="32E299A1" w14:textId="77777777" w:rsidR="00D1626B" w:rsidRPr="00D1626B" w:rsidRDefault="00D1626B" w:rsidP="009D7D90">
            <w:pPr>
              <w:spacing w:line="276" w:lineRule="auto"/>
              <w:ind w:right="118"/>
              <w:jc w:val="center"/>
              <w:rPr>
                <w:rStyle w:val="Strong"/>
                <w:rFonts w:ascii="Calibri" w:hAnsi="Calibri" w:cs="Calibri"/>
                <w:b w:val="0"/>
                <w:bCs w:val="0"/>
              </w:rPr>
            </w:pPr>
            <w:r w:rsidRPr="00D1626B">
              <w:rPr>
                <w:rStyle w:val="Strong"/>
                <w:rFonts w:ascii="Calibri" w:hAnsi="Calibri" w:cs="Calibri"/>
                <w:b w:val="0"/>
              </w:rPr>
              <w:t>16.9%</w:t>
            </w:r>
          </w:p>
        </w:tc>
        <w:tc>
          <w:tcPr>
            <w:tcW w:w="1165" w:type="dxa"/>
          </w:tcPr>
          <w:p w14:paraId="3A2C92A0" w14:textId="77777777" w:rsidR="00D1626B" w:rsidRPr="00D1626B" w:rsidRDefault="00D1626B" w:rsidP="009D7D90">
            <w:pPr>
              <w:spacing w:line="276" w:lineRule="auto"/>
              <w:ind w:right="118"/>
              <w:jc w:val="center"/>
              <w:rPr>
                <w:rStyle w:val="Strong"/>
                <w:rFonts w:ascii="Calibri" w:hAnsi="Calibri" w:cs="Calibri"/>
                <w:b w:val="0"/>
                <w:bCs w:val="0"/>
              </w:rPr>
            </w:pPr>
            <w:r w:rsidRPr="00D1626B">
              <w:rPr>
                <w:rStyle w:val="Strong"/>
                <w:rFonts w:ascii="Calibri" w:hAnsi="Calibri" w:cs="Calibri"/>
                <w:b w:val="0"/>
              </w:rPr>
              <w:t>15.6%</w:t>
            </w:r>
          </w:p>
        </w:tc>
        <w:tc>
          <w:tcPr>
            <w:tcW w:w="1165" w:type="dxa"/>
          </w:tcPr>
          <w:p w14:paraId="5B01D57F" w14:textId="77777777" w:rsidR="00D1626B" w:rsidRPr="00D1626B" w:rsidRDefault="00D1626B" w:rsidP="009D7D90">
            <w:pPr>
              <w:spacing w:line="276" w:lineRule="auto"/>
              <w:ind w:right="118"/>
              <w:jc w:val="center"/>
              <w:rPr>
                <w:rStyle w:val="Strong"/>
                <w:rFonts w:ascii="Calibri" w:hAnsi="Calibri" w:cs="Calibri"/>
                <w:b w:val="0"/>
                <w:bCs w:val="0"/>
              </w:rPr>
            </w:pPr>
            <w:r w:rsidRPr="00D1626B">
              <w:rPr>
                <w:rStyle w:val="Strong"/>
                <w:rFonts w:ascii="Calibri" w:hAnsi="Calibri" w:cs="Calibri"/>
                <w:b w:val="0"/>
              </w:rPr>
              <w:t>15.9%</w:t>
            </w:r>
          </w:p>
        </w:tc>
        <w:tc>
          <w:tcPr>
            <w:tcW w:w="1165" w:type="dxa"/>
          </w:tcPr>
          <w:p w14:paraId="70684D03" w14:textId="77777777" w:rsidR="00D1626B" w:rsidRPr="00D1626B" w:rsidRDefault="00D1626B" w:rsidP="009D7D90">
            <w:pPr>
              <w:spacing w:line="276" w:lineRule="auto"/>
              <w:ind w:right="118"/>
              <w:jc w:val="center"/>
              <w:rPr>
                <w:rStyle w:val="Strong"/>
                <w:rFonts w:ascii="Calibri" w:hAnsi="Calibri" w:cs="Calibri"/>
                <w:b w:val="0"/>
                <w:bCs w:val="0"/>
              </w:rPr>
            </w:pPr>
            <w:r w:rsidRPr="00D1626B">
              <w:rPr>
                <w:rStyle w:val="Strong"/>
                <w:rFonts w:ascii="Calibri" w:hAnsi="Calibri" w:cs="Calibri"/>
                <w:b w:val="0"/>
              </w:rPr>
              <w:t>16.7%</w:t>
            </w:r>
          </w:p>
        </w:tc>
        <w:tc>
          <w:tcPr>
            <w:tcW w:w="1132" w:type="dxa"/>
          </w:tcPr>
          <w:p w14:paraId="6C5F7129" w14:textId="77777777" w:rsidR="00D1626B" w:rsidRPr="00D1626B" w:rsidRDefault="00D1626B" w:rsidP="009D7D90">
            <w:pPr>
              <w:spacing w:line="276" w:lineRule="auto"/>
              <w:ind w:right="118"/>
              <w:jc w:val="center"/>
              <w:rPr>
                <w:rStyle w:val="Strong"/>
                <w:rFonts w:ascii="Calibri" w:hAnsi="Calibri" w:cs="Calibri"/>
                <w:b w:val="0"/>
                <w:bCs w:val="0"/>
              </w:rPr>
            </w:pPr>
            <w:r w:rsidRPr="00D1626B">
              <w:rPr>
                <w:rStyle w:val="Strong"/>
                <w:rFonts w:ascii="Calibri" w:hAnsi="Calibri" w:cs="Calibri"/>
                <w:b w:val="0"/>
              </w:rPr>
              <w:t>15.0%</w:t>
            </w:r>
          </w:p>
        </w:tc>
      </w:tr>
      <w:tr w:rsidR="00D1626B" w:rsidRPr="007975D4" w14:paraId="7F2B409A" w14:textId="77777777" w:rsidTr="002741E0">
        <w:tc>
          <w:tcPr>
            <w:tcW w:w="3233" w:type="dxa"/>
          </w:tcPr>
          <w:p w14:paraId="2289D5BB" w14:textId="77777777" w:rsidR="00D1626B" w:rsidRPr="00D1626B" w:rsidRDefault="00D1626B" w:rsidP="009D7D90">
            <w:pPr>
              <w:spacing w:line="276" w:lineRule="auto"/>
              <w:ind w:right="118"/>
              <w:rPr>
                <w:rStyle w:val="Strong"/>
                <w:rFonts w:ascii="Calibri" w:hAnsi="Calibri" w:cs="Calibri"/>
                <w:b w:val="0"/>
                <w:bCs w:val="0"/>
              </w:rPr>
            </w:pPr>
            <w:r w:rsidRPr="00D1626B">
              <w:rPr>
                <w:rStyle w:val="Strong"/>
                <w:rFonts w:ascii="Calibri" w:hAnsi="Calibri" w:cs="Calibri"/>
                <w:b w:val="0"/>
              </w:rPr>
              <w:t>Not in labour force, education or training</w:t>
            </w:r>
          </w:p>
        </w:tc>
        <w:tc>
          <w:tcPr>
            <w:tcW w:w="1156" w:type="dxa"/>
          </w:tcPr>
          <w:p w14:paraId="1CD92E1E" w14:textId="77777777" w:rsidR="00D1626B" w:rsidRPr="00D1626B" w:rsidRDefault="00D1626B" w:rsidP="009D7D90">
            <w:pPr>
              <w:spacing w:line="276" w:lineRule="auto"/>
              <w:ind w:right="118"/>
              <w:jc w:val="center"/>
              <w:rPr>
                <w:rStyle w:val="Strong"/>
                <w:rFonts w:ascii="Calibri" w:hAnsi="Calibri" w:cs="Calibri"/>
                <w:b w:val="0"/>
                <w:bCs w:val="0"/>
              </w:rPr>
            </w:pPr>
            <w:r w:rsidRPr="00D1626B">
              <w:rPr>
                <w:rStyle w:val="Strong"/>
                <w:rFonts w:ascii="Calibri" w:hAnsi="Calibri" w:cs="Calibri"/>
                <w:b w:val="0"/>
              </w:rPr>
              <w:t>5.1%</w:t>
            </w:r>
          </w:p>
        </w:tc>
        <w:tc>
          <w:tcPr>
            <w:tcW w:w="1165" w:type="dxa"/>
          </w:tcPr>
          <w:p w14:paraId="52CAFDCE" w14:textId="77777777" w:rsidR="00D1626B" w:rsidRPr="00D1626B" w:rsidRDefault="00D1626B" w:rsidP="009D7D90">
            <w:pPr>
              <w:spacing w:line="276" w:lineRule="auto"/>
              <w:ind w:right="118"/>
              <w:jc w:val="center"/>
              <w:rPr>
                <w:rStyle w:val="Strong"/>
                <w:rFonts w:ascii="Calibri" w:hAnsi="Calibri" w:cs="Calibri"/>
                <w:b w:val="0"/>
                <w:bCs w:val="0"/>
              </w:rPr>
            </w:pPr>
            <w:r w:rsidRPr="00D1626B">
              <w:rPr>
                <w:rStyle w:val="Strong"/>
                <w:rFonts w:ascii="Calibri" w:hAnsi="Calibri" w:cs="Calibri"/>
                <w:b w:val="0"/>
              </w:rPr>
              <w:t>5.5%</w:t>
            </w:r>
          </w:p>
        </w:tc>
        <w:tc>
          <w:tcPr>
            <w:tcW w:w="1165" w:type="dxa"/>
          </w:tcPr>
          <w:p w14:paraId="5077978F" w14:textId="77777777" w:rsidR="00D1626B" w:rsidRPr="00D1626B" w:rsidRDefault="00D1626B" w:rsidP="009D7D90">
            <w:pPr>
              <w:spacing w:line="276" w:lineRule="auto"/>
              <w:ind w:right="118"/>
              <w:jc w:val="center"/>
              <w:rPr>
                <w:rStyle w:val="Strong"/>
                <w:rFonts w:ascii="Calibri" w:hAnsi="Calibri" w:cs="Calibri"/>
                <w:b w:val="0"/>
                <w:bCs w:val="0"/>
              </w:rPr>
            </w:pPr>
            <w:r w:rsidRPr="00D1626B">
              <w:rPr>
                <w:rStyle w:val="Strong"/>
                <w:rFonts w:ascii="Calibri" w:hAnsi="Calibri" w:cs="Calibri"/>
                <w:b w:val="0"/>
              </w:rPr>
              <w:t>5.9%</w:t>
            </w:r>
          </w:p>
        </w:tc>
        <w:tc>
          <w:tcPr>
            <w:tcW w:w="1165" w:type="dxa"/>
          </w:tcPr>
          <w:p w14:paraId="16FE2CFB" w14:textId="77777777" w:rsidR="00D1626B" w:rsidRPr="00D1626B" w:rsidRDefault="00D1626B" w:rsidP="009D7D90">
            <w:pPr>
              <w:spacing w:line="276" w:lineRule="auto"/>
              <w:ind w:right="118"/>
              <w:jc w:val="center"/>
              <w:rPr>
                <w:rStyle w:val="Strong"/>
                <w:rFonts w:ascii="Calibri" w:hAnsi="Calibri" w:cs="Calibri"/>
                <w:b w:val="0"/>
                <w:bCs w:val="0"/>
              </w:rPr>
            </w:pPr>
            <w:r w:rsidRPr="00D1626B">
              <w:rPr>
                <w:rStyle w:val="Strong"/>
                <w:rFonts w:ascii="Calibri" w:hAnsi="Calibri" w:cs="Calibri"/>
                <w:b w:val="0"/>
              </w:rPr>
              <w:t>5.8%</w:t>
            </w:r>
          </w:p>
        </w:tc>
        <w:tc>
          <w:tcPr>
            <w:tcW w:w="1132" w:type="dxa"/>
          </w:tcPr>
          <w:p w14:paraId="30105F78" w14:textId="77777777" w:rsidR="00D1626B" w:rsidRPr="00D1626B" w:rsidRDefault="00D1626B" w:rsidP="009D7D90">
            <w:pPr>
              <w:spacing w:line="276" w:lineRule="auto"/>
              <w:ind w:right="118"/>
              <w:jc w:val="center"/>
              <w:rPr>
                <w:rStyle w:val="Strong"/>
                <w:rFonts w:ascii="Calibri" w:hAnsi="Calibri" w:cs="Calibri"/>
                <w:b w:val="0"/>
                <w:bCs w:val="0"/>
              </w:rPr>
            </w:pPr>
            <w:r w:rsidRPr="00D1626B">
              <w:rPr>
                <w:rStyle w:val="Strong"/>
                <w:rFonts w:ascii="Calibri" w:hAnsi="Calibri" w:cs="Calibri"/>
                <w:b w:val="0"/>
              </w:rPr>
              <w:t>4.8%</w:t>
            </w:r>
          </w:p>
        </w:tc>
      </w:tr>
    </w:tbl>
    <w:p w14:paraId="2EF2F785" w14:textId="77777777" w:rsidR="008C6857" w:rsidRDefault="008C6857" w:rsidP="002741E0">
      <w:pPr>
        <w:spacing w:after="0"/>
        <w:ind w:left="66" w:right="118"/>
        <w:rPr>
          <w:sz w:val="18"/>
          <w:szCs w:val="18"/>
        </w:rPr>
      </w:pPr>
    </w:p>
    <w:p w14:paraId="395A551F" w14:textId="6B5ECD32" w:rsidR="00D1626B" w:rsidRDefault="00D1626B" w:rsidP="002741E0">
      <w:pPr>
        <w:spacing w:after="0"/>
        <w:ind w:left="66" w:right="118"/>
        <w:rPr>
          <w:sz w:val="18"/>
          <w:szCs w:val="18"/>
        </w:rPr>
      </w:pPr>
      <w:r w:rsidRPr="00827FDD">
        <w:rPr>
          <w:sz w:val="18"/>
          <w:szCs w:val="18"/>
        </w:rPr>
        <w:t xml:space="preserve">Source: </w:t>
      </w:r>
      <w:r w:rsidRPr="00827FDD">
        <w:rPr>
          <w:i/>
          <w:iCs/>
          <w:sz w:val="18"/>
          <w:szCs w:val="18"/>
        </w:rPr>
        <w:t xml:space="preserve">On Track 2018: Destinations of Victorian School Leavers. </w:t>
      </w:r>
      <w:r w:rsidRPr="00827FDD">
        <w:rPr>
          <w:sz w:val="18"/>
          <w:szCs w:val="18"/>
        </w:rPr>
        <w:t>Education and Training, Victoria State Government</w:t>
      </w:r>
    </w:p>
    <w:p w14:paraId="598065CB" w14:textId="77777777" w:rsidR="00024E3F" w:rsidRDefault="00D1626B" w:rsidP="002741E0">
      <w:pPr>
        <w:spacing w:after="0"/>
        <w:ind w:left="66" w:right="118"/>
        <w:rPr>
          <w:sz w:val="18"/>
          <w:szCs w:val="18"/>
        </w:rPr>
      </w:pPr>
      <w:r>
        <w:rPr>
          <w:sz w:val="18"/>
          <w:szCs w:val="18"/>
        </w:rPr>
        <w:t xml:space="preserve">Note:  To reflect diversity data applies to government schools only. </w:t>
      </w:r>
    </w:p>
    <w:p w14:paraId="52ABF068" w14:textId="77777777" w:rsidR="00B1145C" w:rsidRDefault="00B1145C" w:rsidP="002741E0">
      <w:pPr>
        <w:rPr>
          <w:b/>
          <w:color w:val="1F497D" w:themeColor="text2"/>
          <w:sz w:val="24"/>
          <w:szCs w:val="24"/>
        </w:rPr>
      </w:pPr>
    </w:p>
    <w:p w14:paraId="2DCE0D4A" w14:textId="2944E257" w:rsidR="008B136E" w:rsidRPr="008B136E" w:rsidRDefault="008B136E" w:rsidP="002741E0">
      <w:pPr>
        <w:rPr>
          <w:sz w:val="24"/>
          <w:szCs w:val="24"/>
        </w:rPr>
      </w:pPr>
      <w:r w:rsidRPr="008B136E">
        <w:rPr>
          <w:b/>
          <w:color w:val="1F497D" w:themeColor="text2"/>
          <w:sz w:val="24"/>
          <w:szCs w:val="24"/>
        </w:rPr>
        <w:t>Table 3 Top 5 preferred employment destinations</w:t>
      </w:r>
    </w:p>
    <w:tbl>
      <w:tblPr>
        <w:tblStyle w:val="TableGrid"/>
        <w:tblW w:w="9016" w:type="dxa"/>
        <w:tblInd w:w="137"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2035"/>
        <w:gridCol w:w="3454"/>
        <w:gridCol w:w="3527"/>
      </w:tblGrid>
      <w:tr w:rsidR="00024E3F" w:rsidRPr="007975D4" w14:paraId="69CFE1F6" w14:textId="77777777" w:rsidTr="002741E0">
        <w:trPr>
          <w:trHeight w:val="480"/>
        </w:trPr>
        <w:tc>
          <w:tcPr>
            <w:tcW w:w="2035" w:type="dxa"/>
            <w:shd w:val="clear" w:color="auto" w:fill="C6D9F1" w:themeFill="text2" w:themeFillTint="33"/>
          </w:tcPr>
          <w:p w14:paraId="54E0A2FA" w14:textId="77777777" w:rsidR="00024E3F" w:rsidRPr="00281954" w:rsidRDefault="00024E3F" w:rsidP="009D7D90">
            <w:pPr>
              <w:ind w:right="118"/>
              <w:rPr>
                <w:rStyle w:val="Strong"/>
                <w:rFonts w:ascii="Calibri" w:hAnsi="Calibri" w:cs="Calibri"/>
                <w:b w:val="0"/>
                <w:bCs w:val="0"/>
              </w:rPr>
            </w:pPr>
          </w:p>
        </w:tc>
        <w:tc>
          <w:tcPr>
            <w:tcW w:w="3454" w:type="dxa"/>
            <w:shd w:val="clear" w:color="auto" w:fill="C6D9F1" w:themeFill="text2" w:themeFillTint="33"/>
            <w:vAlign w:val="center"/>
          </w:tcPr>
          <w:p w14:paraId="48D93B85" w14:textId="77777777" w:rsidR="00024E3F" w:rsidRPr="000D75B0" w:rsidRDefault="00024E3F" w:rsidP="00024E3F">
            <w:pPr>
              <w:pStyle w:val="ListParagraph"/>
              <w:ind w:left="367" w:right="118" w:hanging="283"/>
              <w:jc w:val="center"/>
              <w:rPr>
                <w:rFonts w:ascii="Calibri" w:hAnsi="Calibri" w:cs="Calibri"/>
                <w:b/>
                <w:color w:val="1F497D" w:themeColor="text2"/>
              </w:rPr>
            </w:pPr>
            <w:r w:rsidRPr="000D75B0">
              <w:rPr>
                <w:rFonts w:ascii="Calibri" w:hAnsi="Calibri" w:cs="Calibri"/>
                <w:b/>
                <w:color w:val="1F497D" w:themeColor="text2"/>
              </w:rPr>
              <w:t>2014</w:t>
            </w:r>
          </w:p>
        </w:tc>
        <w:tc>
          <w:tcPr>
            <w:tcW w:w="3527" w:type="dxa"/>
            <w:shd w:val="clear" w:color="auto" w:fill="C6D9F1" w:themeFill="text2" w:themeFillTint="33"/>
            <w:vAlign w:val="center"/>
          </w:tcPr>
          <w:p w14:paraId="50CD29F8" w14:textId="77777777" w:rsidR="00024E3F" w:rsidRPr="000D75B0" w:rsidRDefault="00024E3F" w:rsidP="00024E3F">
            <w:pPr>
              <w:ind w:left="366" w:right="118" w:hanging="283"/>
              <w:jc w:val="center"/>
              <w:rPr>
                <w:rStyle w:val="Strong"/>
                <w:rFonts w:ascii="Calibri" w:hAnsi="Calibri" w:cs="Calibri"/>
                <w:bCs w:val="0"/>
                <w:color w:val="1F497D" w:themeColor="text2"/>
              </w:rPr>
            </w:pPr>
            <w:r w:rsidRPr="000D75B0">
              <w:rPr>
                <w:rStyle w:val="Strong"/>
                <w:rFonts w:ascii="Calibri" w:hAnsi="Calibri" w:cs="Calibri"/>
                <w:bCs w:val="0"/>
                <w:color w:val="1F497D" w:themeColor="text2"/>
              </w:rPr>
              <w:t>2018</w:t>
            </w:r>
          </w:p>
        </w:tc>
      </w:tr>
      <w:tr w:rsidR="00D1626B" w:rsidRPr="007975D4" w14:paraId="51965CC2" w14:textId="77777777" w:rsidTr="002741E0">
        <w:tc>
          <w:tcPr>
            <w:tcW w:w="2035" w:type="dxa"/>
          </w:tcPr>
          <w:p w14:paraId="671C9685" w14:textId="77777777" w:rsidR="00D1626B" w:rsidRPr="00281954" w:rsidRDefault="00D1626B" w:rsidP="009D7D90">
            <w:pPr>
              <w:ind w:right="118"/>
              <w:rPr>
                <w:rStyle w:val="Strong"/>
                <w:rFonts w:ascii="Calibri" w:hAnsi="Calibri" w:cs="Calibri"/>
                <w:b w:val="0"/>
                <w:bCs w:val="0"/>
              </w:rPr>
            </w:pPr>
          </w:p>
          <w:p w14:paraId="4EC76BB2" w14:textId="77777777" w:rsidR="00D1626B" w:rsidRPr="00281954" w:rsidRDefault="00D1626B" w:rsidP="009D7D90">
            <w:pPr>
              <w:ind w:right="118"/>
              <w:rPr>
                <w:rStyle w:val="Strong"/>
                <w:rFonts w:ascii="Calibri" w:hAnsi="Calibri" w:cs="Calibri"/>
                <w:b w:val="0"/>
                <w:bCs w:val="0"/>
              </w:rPr>
            </w:pPr>
            <w:r w:rsidRPr="00281954">
              <w:rPr>
                <w:rStyle w:val="Strong"/>
                <w:rFonts w:ascii="Calibri" w:hAnsi="Calibri" w:cs="Calibri"/>
              </w:rPr>
              <w:t>Year 12 completers</w:t>
            </w:r>
          </w:p>
        </w:tc>
        <w:tc>
          <w:tcPr>
            <w:tcW w:w="3454" w:type="dxa"/>
          </w:tcPr>
          <w:p w14:paraId="537B5D69" w14:textId="77777777" w:rsidR="00D1626B" w:rsidRPr="00D1626B" w:rsidRDefault="00D1626B" w:rsidP="009D7D90">
            <w:pPr>
              <w:pStyle w:val="ListParagraph"/>
              <w:ind w:left="367" w:right="118" w:hanging="283"/>
              <w:rPr>
                <w:rFonts w:ascii="Calibri" w:hAnsi="Calibri" w:cs="Calibri"/>
              </w:rPr>
            </w:pPr>
          </w:p>
          <w:p w14:paraId="3EBB6581" w14:textId="77777777" w:rsidR="00D1626B" w:rsidRPr="00D1626B" w:rsidRDefault="00D1626B" w:rsidP="00D1626B">
            <w:pPr>
              <w:pStyle w:val="ListParagraph"/>
              <w:numPr>
                <w:ilvl w:val="0"/>
                <w:numId w:val="12"/>
              </w:numPr>
              <w:ind w:left="367" w:right="118" w:hanging="283"/>
              <w:rPr>
                <w:rFonts w:ascii="Calibri" w:hAnsi="Calibri" w:cs="Calibri"/>
              </w:rPr>
            </w:pPr>
            <w:r w:rsidRPr="00D1626B">
              <w:rPr>
                <w:rFonts w:ascii="Calibri" w:hAnsi="Calibri" w:cs="Calibri"/>
              </w:rPr>
              <w:t>Sales assistants and store persons (36.5%)</w:t>
            </w:r>
          </w:p>
          <w:p w14:paraId="3631CFF8" w14:textId="77777777" w:rsidR="00D1626B" w:rsidRPr="00D1626B" w:rsidRDefault="00D1626B" w:rsidP="00D1626B">
            <w:pPr>
              <w:pStyle w:val="ListParagraph"/>
              <w:numPr>
                <w:ilvl w:val="0"/>
                <w:numId w:val="12"/>
              </w:numPr>
              <w:ind w:left="367" w:right="118" w:hanging="283"/>
              <w:rPr>
                <w:rFonts w:ascii="Calibri" w:hAnsi="Calibri" w:cs="Calibri"/>
              </w:rPr>
            </w:pPr>
            <w:r w:rsidRPr="00D1626B">
              <w:rPr>
                <w:rFonts w:ascii="Calibri" w:hAnsi="Calibri" w:cs="Calibri"/>
              </w:rPr>
              <w:t>Food, hospitality and tourism (28.5%)</w:t>
            </w:r>
          </w:p>
          <w:p w14:paraId="30042939" w14:textId="77777777" w:rsidR="00D1626B" w:rsidRPr="00D1626B" w:rsidRDefault="00D1626B" w:rsidP="00D1626B">
            <w:pPr>
              <w:pStyle w:val="ListParagraph"/>
              <w:numPr>
                <w:ilvl w:val="0"/>
                <w:numId w:val="12"/>
              </w:numPr>
              <w:ind w:left="367" w:right="118" w:hanging="283"/>
              <w:rPr>
                <w:rFonts w:ascii="Calibri" w:hAnsi="Calibri" w:cs="Calibri"/>
              </w:rPr>
            </w:pPr>
            <w:r w:rsidRPr="00D1626B">
              <w:rPr>
                <w:rFonts w:ascii="Calibri" w:hAnsi="Calibri" w:cs="Calibri"/>
              </w:rPr>
              <w:t>Labourers, factory and machine workers (6.5%)</w:t>
            </w:r>
          </w:p>
          <w:p w14:paraId="2AAE382A" w14:textId="77777777" w:rsidR="00D1626B" w:rsidRPr="00D1626B" w:rsidRDefault="00D1626B" w:rsidP="00D1626B">
            <w:pPr>
              <w:pStyle w:val="ListParagraph"/>
              <w:numPr>
                <w:ilvl w:val="0"/>
                <w:numId w:val="12"/>
              </w:numPr>
              <w:ind w:left="367" w:right="118" w:hanging="283"/>
              <w:rPr>
                <w:rFonts w:ascii="Calibri" w:hAnsi="Calibri" w:cs="Calibri"/>
              </w:rPr>
            </w:pPr>
            <w:r w:rsidRPr="00D1626B">
              <w:rPr>
                <w:rFonts w:ascii="Calibri" w:hAnsi="Calibri" w:cs="Calibri"/>
              </w:rPr>
              <w:t>Clerks, receptionists and secretaries (4.1%)</w:t>
            </w:r>
          </w:p>
          <w:p w14:paraId="78AD6F88" w14:textId="77777777" w:rsidR="00D1626B" w:rsidRPr="00D1626B" w:rsidRDefault="00D1626B" w:rsidP="00D1626B">
            <w:pPr>
              <w:pStyle w:val="ListParagraph"/>
              <w:numPr>
                <w:ilvl w:val="0"/>
                <w:numId w:val="12"/>
              </w:numPr>
              <w:ind w:left="367" w:right="118" w:hanging="283"/>
              <w:rPr>
                <w:rFonts w:ascii="Calibri" w:hAnsi="Calibri" w:cs="Calibri"/>
              </w:rPr>
            </w:pPr>
            <w:r w:rsidRPr="00D1626B">
              <w:rPr>
                <w:rFonts w:ascii="Calibri" w:hAnsi="Calibri" w:cs="Calibri"/>
              </w:rPr>
              <w:t>Health, fitness, hair and beauty (3.8%)</w:t>
            </w:r>
          </w:p>
          <w:p w14:paraId="309CB12A" w14:textId="77777777" w:rsidR="00D1626B" w:rsidRPr="00D1626B" w:rsidRDefault="00D1626B" w:rsidP="009D7D90">
            <w:pPr>
              <w:pStyle w:val="ListParagraph"/>
              <w:ind w:left="367" w:right="118" w:hanging="283"/>
              <w:rPr>
                <w:rFonts w:ascii="Calibri" w:hAnsi="Calibri" w:cs="Calibri"/>
              </w:rPr>
            </w:pPr>
          </w:p>
        </w:tc>
        <w:tc>
          <w:tcPr>
            <w:tcW w:w="3527" w:type="dxa"/>
          </w:tcPr>
          <w:p w14:paraId="06455C5F" w14:textId="77777777" w:rsidR="00D1626B" w:rsidRPr="00D1626B" w:rsidRDefault="00D1626B" w:rsidP="009D7D90">
            <w:pPr>
              <w:ind w:left="366" w:right="118" w:hanging="283"/>
              <w:rPr>
                <w:rStyle w:val="Strong"/>
                <w:rFonts w:ascii="Calibri" w:hAnsi="Calibri" w:cs="Calibri"/>
                <w:b w:val="0"/>
                <w:bCs w:val="0"/>
              </w:rPr>
            </w:pPr>
          </w:p>
          <w:p w14:paraId="2DF56043" w14:textId="77777777" w:rsidR="00D1626B" w:rsidRPr="00D1626B" w:rsidRDefault="00D1626B" w:rsidP="00D1626B">
            <w:pPr>
              <w:pStyle w:val="ListParagraph"/>
              <w:numPr>
                <w:ilvl w:val="0"/>
                <w:numId w:val="12"/>
              </w:numPr>
              <w:ind w:left="366" w:right="118" w:hanging="283"/>
              <w:rPr>
                <w:rFonts w:ascii="Calibri" w:hAnsi="Calibri" w:cs="Calibri"/>
              </w:rPr>
            </w:pPr>
            <w:r w:rsidRPr="00D1626B">
              <w:rPr>
                <w:rFonts w:ascii="Calibri" w:hAnsi="Calibri" w:cs="Calibri"/>
              </w:rPr>
              <w:t>Sales assistants and store persons (29.9%)</w:t>
            </w:r>
          </w:p>
          <w:p w14:paraId="397AA336" w14:textId="77777777" w:rsidR="00D1626B" w:rsidRPr="00D1626B" w:rsidRDefault="00D1626B" w:rsidP="00D1626B">
            <w:pPr>
              <w:pStyle w:val="ListParagraph"/>
              <w:numPr>
                <w:ilvl w:val="0"/>
                <w:numId w:val="12"/>
              </w:numPr>
              <w:ind w:left="366" w:right="118" w:hanging="283"/>
              <w:rPr>
                <w:rFonts w:ascii="Calibri" w:hAnsi="Calibri" w:cs="Calibri"/>
              </w:rPr>
            </w:pPr>
            <w:r w:rsidRPr="00D1626B">
              <w:rPr>
                <w:rFonts w:ascii="Calibri" w:hAnsi="Calibri" w:cs="Calibri"/>
              </w:rPr>
              <w:t>Food, hospitality and tourism (29.7%)</w:t>
            </w:r>
          </w:p>
          <w:p w14:paraId="30D4234A" w14:textId="77777777" w:rsidR="00D1626B" w:rsidRPr="00D1626B" w:rsidRDefault="00D1626B" w:rsidP="00D1626B">
            <w:pPr>
              <w:pStyle w:val="ListParagraph"/>
              <w:numPr>
                <w:ilvl w:val="0"/>
                <w:numId w:val="12"/>
              </w:numPr>
              <w:ind w:left="366" w:right="118" w:hanging="283"/>
              <w:rPr>
                <w:rFonts w:ascii="Calibri" w:hAnsi="Calibri" w:cs="Calibri"/>
              </w:rPr>
            </w:pPr>
            <w:r w:rsidRPr="00D1626B">
              <w:rPr>
                <w:rFonts w:ascii="Calibri" w:hAnsi="Calibri" w:cs="Calibri"/>
              </w:rPr>
              <w:t>Labourers, factory and machine workers (8.7%)</w:t>
            </w:r>
          </w:p>
          <w:p w14:paraId="555A8B19" w14:textId="77777777" w:rsidR="00D1626B" w:rsidRPr="00D1626B" w:rsidRDefault="00D1626B" w:rsidP="00D1626B">
            <w:pPr>
              <w:pStyle w:val="ListParagraph"/>
              <w:numPr>
                <w:ilvl w:val="0"/>
                <w:numId w:val="12"/>
              </w:numPr>
              <w:ind w:left="366" w:right="118" w:hanging="283"/>
              <w:rPr>
                <w:rFonts w:ascii="Calibri" w:hAnsi="Calibri" w:cs="Calibri"/>
              </w:rPr>
            </w:pPr>
            <w:r w:rsidRPr="00D1626B">
              <w:rPr>
                <w:rFonts w:ascii="Calibri" w:hAnsi="Calibri" w:cs="Calibri"/>
              </w:rPr>
              <w:t>Teaching, childcare and library (4.4%)</w:t>
            </w:r>
          </w:p>
          <w:p w14:paraId="0D972749" w14:textId="77777777" w:rsidR="00D1626B" w:rsidRPr="00D1626B" w:rsidRDefault="00D1626B" w:rsidP="00D1626B">
            <w:pPr>
              <w:pStyle w:val="ListParagraph"/>
              <w:numPr>
                <w:ilvl w:val="0"/>
                <w:numId w:val="12"/>
              </w:numPr>
              <w:ind w:left="366" w:right="118" w:hanging="283"/>
              <w:rPr>
                <w:rFonts w:ascii="Calibri" w:hAnsi="Calibri" w:cs="Calibri"/>
              </w:rPr>
            </w:pPr>
            <w:r w:rsidRPr="00D1626B">
              <w:rPr>
                <w:rFonts w:ascii="Calibri" w:hAnsi="Calibri" w:cs="Calibri"/>
              </w:rPr>
              <w:t>Clerks, receptionists and secretaries (4.3%)</w:t>
            </w:r>
          </w:p>
          <w:p w14:paraId="7ACACFE4" w14:textId="77777777" w:rsidR="00D1626B" w:rsidRPr="00D1626B" w:rsidRDefault="00D1626B" w:rsidP="009D7D90">
            <w:pPr>
              <w:ind w:left="366" w:right="118" w:hanging="283"/>
              <w:rPr>
                <w:rFonts w:ascii="Calibri" w:hAnsi="Calibri" w:cs="Calibri"/>
              </w:rPr>
            </w:pPr>
          </w:p>
        </w:tc>
      </w:tr>
      <w:tr w:rsidR="00D1626B" w:rsidRPr="007975D4" w14:paraId="7FC934EB" w14:textId="77777777" w:rsidTr="002741E0">
        <w:tc>
          <w:tcPr>
            <w:tcW w:w="2035" w:type="dxa"/>
          </w:tcPr>
          <w:p w14:paraId="10714CEE" w14:textId="77777777" w:rsidR="00D1626B" w:rsidRPr="00281954" w:rsidRDefault="00D1626B" w:rsidP="009D7D90">
            <w:pPr>
              <w:ind w:right="118"/>
              <w:rPr>
                <w:rStyle w:val="Strong"/>
                <w:rFonts w:ascii="Calibri" w:hAnsi="Calibri" w:cs="Calibri"/>
                <w:b w:val="0"/>
                <w:bCs w:val="0"/>
              </w:rPr>
            </w:pPr>
          </w:p>
          <w:p w14:paraId="65A100C1" w14:textId="77777777" w:rsidR="00D1626B" w:rsidRPr="00281954" w:rsidRDefault="00D1626B" w:rsidP="009D7D90">
            <w:pPr>
              <w:ind w:right="118"/>
              <w:rPr>
                <w:rStyle w:val="Strong"/>
                <w:rFonts w:ascii="Calibri" w:hAnsi="Calibri" w:cs="Calibri"/>
                <w:b w:val="0"/>
                <w:bCs w:val="0"/>
              </w:rPr>
            </w:pPr>
            <w:r w:rsidRPr="00281954">
              <w:rPr>
                <w:rStyle w:val="Strong"/>
                <w:rFonts w:ascii="Calibri" w:hAnsi="Calibri" w:cs="Calibri"/>
              </w:rPr>
              <w:t>Year 12 non-completers</w:t>
            </w:r>
          </w:p>
        </w:tc>
        <w:tc>
          <w:tcPr>
            <w:tcW w:w="3454" w:type="dxa"/>
          </w:tcPr>
          <w:p w14:paraId="6CA6D217" w14:textId="77777777" w:rsidR="00D1626B" w:rsidRPr="00D1626B" w:rsidRDefault="00D1626B" w:rsidP="009D7D90">
            <w:pPr>
              <w:ind w:left="367" w:right="118" w:hanging="283"/>
              <w:rPr>
                <w:rStyle w:val="Strong"/>
                <w:rFonts w:ascii="Calibri" w:hAnsi="Calibri" w:cs="Calibri"/>
                <w:b w:val="0"/>
                <w:bCs w:val="0"/>
              </w:rPr>
            </w:pPr>
          </w:p>
          <w:p w14:paraId="56D69E5C" w14:textId="77777777" w:rsidR="00D1626B" w:rsidRPr="00D1626B" w:rsidRDefault="00D1626B" w:rsidP="00D1626B">
            <w:pPr>
              <w:pStyle w:val="ListParagraph"/>
              <w:numPr>
                <w:ilvl w:val="0"/>
                <w:numId w:val="13"/>
              </w:numPr>
              <w:ind w:left="367" w:right="118" w:hanging="283"/>
              <w:rPr>
                <w:rFonts w:ascii="Calibri" w:hAnsi="Calibri" w:cs="Calibri"/>
              </w:rPr>
            </w:pPr>
            <w:r w:rsidRPr="00D1626B">
              <w:rPr>
                <w:rFonts w:ascii="Calibri" w:hAnsi="Calibri" w:cs="Calibri"/>
              </w:rPr>
              <w:t>Food, hospitality and tourism (30.3%)</w:t>
            </w:r>
          </w:p>
          <w:p w14:paraId="02861FBE" w14:textId="77777777" w:rsidR="00D1626B" w:rsidRPr="00D1626B" w:rsidRDefault="00D1626B" w:rsidP="00D1626B">
            <w:pPr>
              <w:pStyle w:val="ListParagraph"/>
              <w:numPr>
                <w:ilvl w:val="0"/>
                <w:numId w:val="13"/>
              </w:numPr>
              <w:ind w:left="367" w:right="118" w:hanging="283"/>
              <w:rPr>
                <w:rFonts w:ascii="Calibri" w:hAnsi="Calibri" w:cs="Calibri"/>
              </w:rPr>
            </w:pPr>
            <w:r w:rsidRPr="00D1626B">
              <w:rPr>
                <w:rFonts w:ascii="Calibri" w:hAnsi="Calibri" w:cs="Calibri"/>
              </w:rPr>
              <w:t>Sales assistants and store persons (20.2%)</w:t>
            </w:r>
          </w:p>
          <w:p w14:paraId="6E7C7A36" w14:textId="77777777" w:rsidR="00D1626B" w:rsidRPr="00D1626B" w:rsidRDefault="00D1626B" w:rsidP="00D1626B">
            <w:pPr>
              <w:pStyle w:val="ListParagraph"/>
              <w:numPr>
                <w:ilvl w:val="0"/>
                <w:numId w:val="13"/>
              </w:numPr>
              <w:ind w:left="367" w:right="118" w:hanging="283"/>
              <w:rPr>
                <w:rFonts w:ascii="Calibri" w:hAnsi="Calibri" w:cs="Calibri"/>
              </w:rPr>
            </w:pPr>
            <w:r w:rsidRPr="00D1626B">
              <w:rPr>
                <w:rFonts w:ascii="Calibri" w:hAnsi="Calibri" w:cs="Calibri"/>
              </w:rPr>
              <w:t>Labourers, factory and machine workers (12.3%)</w:t>
            </w:r>
          </w:p>
          <w:p w14:paraId="386960AE" w14:textId="77777777" w:rsidR="00D1626B" w:rsidRPr="00D1626B" w:rsidRDefault="00D1626B" w:rsidP="00D1626B">
            <w:pPr>
              <w:pStyle w:val="ListParagraph"/>
              <w:numPr>
                <w:ilvl w:val="0"/>
                <w:numId w:val="13"/>
              </w:numPr>
              <w:ind w:left="367" w:right="118" w:hanging="283"/>
              <w:rPr>
                <w:rFonts w:ascii="Calibri" w:hAnsi="Calibri" w:cs="Calibri"/>
              </w:rPr>
            </w:pPr>
            <w:r w:rsidRPr="00D1626B">
              <w:rPr>
                <w:rFonts w:ascii="Calibri" w:hAnsi="Calibri" w:cs="Calibri"/>
              </w:rPr>
              <w:t>Other (7.2%)</w:t>
            </w:r>
          </w:p>
          <w:p w14:paraId="3DAED5BE" w14:textId="77777777" w:rsidR="00D1626B" w:rsidRPr="00D1626B" w:rsidRDefault="00D1626B" w:rsidP="00D1626B">
            <w:pPr>
              <w:pStyle w:val="ListParagraph"/>
              <w:numPr>
                <w:ilvl w:val="0"/>
                <w:numId w:val="13"/>
              </w:numPr>
              <w:ind w:left="367" w:right="118" w:hanging="283"/>
              <w:rPr>
                <w:rFonts w:ascii="Calibri" w:hAnsi="Calibri" w:cs="Calibri"/>
              </w:rPr>
            </w:pPr>
            <w:r w:rsidRPr="00D1626B">
              <w:rPr>
                <w:rFonts w:ascii="Calibri" w:hAnsi="Calibri" w:cs="Calibri"/>
              </w:rPr>
              <w:t>Building and construction (6.6%)</w:t>
            </w:r>
          </w:p>
        </w:tc>
        <w:tc>
          <w:tcPr>
            <w:tcW w:w="3527" w:type="dxa"/>
          </w:tcPr>
          <w:p w14:paraId="774AAE64" w14:textId="77777777" w:rsidR="00D1626B" w:rsidRPr="00D1626B" w:rsidRDefault="00D1626B" w:rsidP="009D7D90">
            <w:pPr>
              <w:pStyle w:val="ListParagraph"/>
              <w:ind w:left="366" w:right="118" w:hanging="283"/>
              <w:rPr>
                <w:rFonts w:ascii="Calibri" w:hAnsi="Calibri" w:cs="Calibri"/>
              </w:rPr>
            </w:pPr>
          </w:p>
          <w:p w14:paraId="07112067" w14:textId="77777777" w:rsidR="00D1626B" w:rsidRPr="00D1626B" w:rsidRDefault="00D1626B" w:rsidP="00D1626B">
            <w:pPr>
              <w:pStyle w:val="ListParagraph"/>
              <w:numPr>
                <w:ilvl w:val="0"/>
                <w:numId w:val="13"/>
              </w:numPr>
              <w:ind w:left="366" w:right="118" w:hanging="283"/>
              <w:rPr>
                <w:rFonts w:ascii="Calibri" w:hAnsi="Calibri" w:cs="Calibri"/>
              </w:rPr>
            </w:pPr>
            <w:r w:rsidRPr="00D1626B">
              <w:rPr>
                <w:rFonts w:ascii="Calibri" w:hAnsi="Calibri" w:cs="Calibri"/>
              </w:rPr>
              <w:t>Food, hospitality and tourism (28.7%)</w:t>
            </w:r>
          </w:p>
          <w:p w14:paraId="3714BC73" w14:textId="77777777" w:rsidR="00D1626B" w:rsidRPr="00D1626B" w:rsidRDefault="00D1626B" w:rsidP="00D1626B">
            <w:pPr>
              <w:pStyle w:val="ListParagraph"/>
              <w:numPr>
                <w:ilvl w:val="0"/>
                <w:numId w:val="13"/>
              </w:numPr>
              <w:ind w:left="366" w:right="118" w:hanging="283"/>
              <w:rPr>
                <w:rFonts w:ascii="Calibri" w:hAnsi="Calibri" w:cs="Calibri"/>
              </w:rPr>
            </w:pPr>
            <w:r w:rsidRPr="00D1626B">
              <w:rPr>
                <w:rFonts w:ascii="Calibri" w:hAnsi="Calibri" w:cs="Calibri"/>
              </w:rPr>
              <w:t>Sales assistants and store persons (21.6%)</w:t>
            </w:r>
          </w:p>
          <w:p w14:paraId="318E67FD" w14:textId="77777777" w:rsidR="00D1626B" w:rsidRPr="00D1626B" w:rsidRDefault="00D1626B" w:rsidP="00D1626B">
            <w:pPr>
              <w:pStyle w:val="ListParagraph"/>
              <w:numPr>
                <w:ilvl w:val="0"/>
                <w:numId w:val="13"/>
              </w:numPr>
              <w:ind w:left="366" w:right="118" w:hanging="283"/>
              <w:rPr>
                <w:rFonts w:ascii="Calibri" w:hAnsi="Calibri" w:cs="Calibri"/>
              </w:rPr>
            </w:pPr>
            <w:r w:rsidRPr="00D1626B">
              <w:rPr>
                <w:rFonts w:ascii="Calibri" w:hAnsi="Calibri" w:cs="Calibri"/>
              </w:rPr>
              <w:t>Labourers, factory and machine workers (14.4%)</w:t>
            </w:r>
          </w:p>
          <w:p w14:paraId="3F381114" w14:textId="77777777" w:rsidR="00D1626B" w:rsidRPr="00D1626B" w:rsidRDefault="00D1626B" w:rsidP="00D1626B">
            <w:pPr>
              <w:pStyle w:val="ListParagraph"/>
              <w:numPr>
                <w:ilvl w:val="0"/>
                <w:numId w:val="13"/>
              </w:numPr>
              <w:ind w:left="366" w:right="118" w:hanging="283"/>
              <w:rPr>
                <w:rFonts w:ascii="Calibri" w:hAnsi="Calibri" w:cs="Calibri"/>
              </w:rPr>
            </w:pPr>
            <w:r w:rsidRPr="00D1626B">
              <w:rPr>
                <w:rFonts w:ascii="Calibri" w:hAnsi="Calibri" w:cs="Calibri"/>
              </w:rPr>
              <w:t>Building and construction (8.9%)</w:t>
            </w:r>
          </w:p>
          <w:p w14:paraId="64F400A2" w14:textId="77777777" w:rsidR="00D1626B" w:rsidRPr="00D1626B" w:rsidRDefault="00D1626B" w:rsidP="00D1626B">
            <w:pPr>
              <w:pStyle w:val="ListParagraph"/>
              <w:numPr>
                <w:ilvl w:val="0"/>
                <w:numId w:val="13"/>
              </w:numPr>
              <w:ind w:left="366" w:right="118" w:hanging="283"/>
              <w:rPr>
                <w:rFonts w:ascii="Calibri" w:hAnsi="Calibri" w:cs="Calibri"/>
              </w:rPr>
            </w:pPr>
            <w:r w:rsidRPr="00D1626B">
              <w:rPr>
                <w:rFonts w:ascii="Calibri" w:hAnsi="Calibri" w:cs="Calibri"/>
              </w:rPr>
              <w:t>Gardening, farming and fishing (6.1%)</w:t>
            </w:r>
          </w:p>
        </w:tc>
      </w:tr>
    </w:tbl>
    <w:p w14:paraId="1AE1CC27" w14:textId="77777777" w:rsidR="004C4392" w:rsidRDefault="004C4392" w:rsidP="002741E0">
      <w:pPr>
        <w:spacing w:after="0" w:line="240" w:lineRule="auto"/>
        <w:ind w:left="142"/>
        <w:rPr>
          <w:sz w:val="18"/>
          <w:szCs w:val="18"/>
        </w:rPr>
      </w:pPr>
    </w:p>
    <w:p w14:paraId="6500150D" w14:textId="49E615DE" w:rsidR="00D1626B" w:rsidRDefault="00D1626B" w:rsidP="002741E0">
      <w:pPr>
        <w:spacing w:after="0" w:line="240" w:lineRule="auto"/>
        <w:ind w:left="142"/>
        <w:rPr>
          <w:sz w:val="20"/>
          <w:szCs w:val="18"/>
        </w:rPr>
      </w:pPr>
      <w:r w:rsidRPr="009B0C67">
        <w:rPr>
          <w:sz w:val="18"/>
          <w:szCs w:val="18"/>
        </w:rPr>
        <w:t xml:space="preserve">Source: </w:t>
      </w:r>
      <w:r w:rsidRPr="009B0C67">
        <w:rPr>
          <w:i/>
          <w:iCs/>
          <w:sz w:val="18"/>
          <w:szCs w:val="18"/>
        </w:rPr>
        <w:t xml:space="preserve">On Track 2018: Destinations of Victorian School Leavers. </w:t>
      </w:r>
      <w:r w:rsidRPr="009B0C67">
        <w:rPr>
          <w:sz w:val="18"/>
          <w:szCs w:val="18"/>
        </w:rPr>
        <w:t>Education and Training, Victoria State Government</w:t>
      </w:r>
      <w:r w:rsidRPr="00827FDD">
        <w:rPr>
          <w:sz w:val="20"/>
          <w:szCs w:val="18"/>
        </w:rPr>
        <w:t>.</w:t>
      </w:r>
    </w:p>
    <w:p w14:paraId="4F349353" w14:textId="77777777" w:rsidR="00D1626B" w:rsidRPr="00827FDD" w:rsidRDefault="00D1626B" w:rsidP="00CE554D">
      <w:pPr>
        <w:spacing w:after="0"/>
        <w:ind w:left="142" w:right="118"/>
        <w:rPr>
          <w:sz w:val="18"/>
          <w:szCs w:val="18"/>
        </w:rPr>
      </w:pPr>
      <w:r>
        <w:rPr>
          <w:sz w:val="18"/>
          <w:szCs w:val="18"/>
        </w:rPr>
        <w:t xml:space="preserve">Note:  To reflect diversity data applies to government schools only. </w:t>
      </w:r>
    </w:p>
    <w:p w14:paraId="2F04BDCE" w14:textId="77777777" w:rsidR="00D1626B" w:rsidRDefault="00D1626B" w:rsidP="002741E0">
      <w:pPr>
        <w:ind w:left="360"/>
      </w:pPr>
    </w:p>
    <w:p w14:paraId="63F25BD4" w14:textId="77777777" w:rsidR="00AE3F4C" w:rsidRDefault="00AE3F4C" w:rsidP="003B3F3C">
      <w:pPr>
        <w:pStyle w:val="Heading2"/>
        <w:rPr>
          <w:rFonts w:ascii="Calibri" w:hAnsi="Calibri" w:cs="Calibri"/>
          <w:b/>
          <w:color w:val="1F497D" w:themeColor="text2"/>
          <w:sz w:val="28"/>
          <w:szCs w:val="28"/>
        </w:rPr>
      </w:pPr>
      <w:bookmarkStart w:id="3" w:name="_Toc43128837"/>
      <w:r w:rsidRPr="003B3F3C">
        <w:rPr>
          <w:rFonts w:ascii="Calibri" w:hAnsi="Calibri" w:cs="Calibri"/>
          <w:b/>
          <w:color w:val="1F497D" w:themeColor="text2"/>
          <w:sz w:val="28"/>
          <w:szCs w:val="28"/>
        </w:rPr>
        <w:lastRenderedPageBreak/>
        <w:t>Univer</w:t>
      </w:r>
      <w:r w:rsidR="00D1626B" w:rsidRPr="003B3F3C">
        <w:rPr>
          <w:rFonts w:ascii="Calibri" w:hAnsi="Calibri" w:cs="Calibri"/>
          <w:b/>
          <w:color w:val="1F497D" w:themeColor="text2"/>
          <w:sz w:val="28"/>
          <w:szCs w:val="28"/>
        </w:rPr>
        <w:t>sity outcomes</w:t>
      </w:r>
      <w:bookmarkEnd w:id="3"/>
    </w:p>
    <w:p w14:paraId="63B9C59B" w14:textId="77777777" w:rsidR="003B3F3C" w:rsidRPr="003B3F3C" w:rsidRDefault="003B3F3C" w:rsidP="003B3F3C">
      <w:pPr>
        <w:spacing w:after="0"/>
      </w:pPr>
    </w:p>
    <w:p w14:paraId="68DEB33B" w14:textId="34B5B602" w:rsidR="00A70DC7" w:rsidRDefault="00FF1DF0" w:rsidP="003B3F3C">
      <w:pPr>
        <w:spacing w:after="0"/>
      </w:pPr>
      <w:r>
        <w:t xml:space="preserve">In </w:t>
      </w:r>
      <w:r w:rsidR="00A70DC7">
        <w:t>Australia</w:t>
      </w:r>
      <w:r>
        <w:t>,</w:t>
      </w:r>
      <w:r w:rsidR="00A70DC7">
        <w:t xml:space="preserve"> 51</w:t>
      </w:r>
      <w:r>
        <w:t xml:space="preserve"> per cent</w:t>
      </w:r>
      <w:r w:rsidR="00A70DC7">
        <w:t xml:space="preserve"> of 25 to 34-year-olds </w:t>
      </w:r>
      <w:r>
        <w:t xml:space="preserve">have </w:t>
      </w:r>
      <w:r w:rsidR="00AE3F4C">
        <w:t xml:space="preserve">a </w:t>
      </w:r>
      <w:r w:rsidR="000C7E09">
        <w:t>tertiary degree</w:t>
      </w:r>
      <w:r w:rsidR="00A70DC7">
        <w:t xml:space="preserve"> (OECD average 44%)</w:t>
      </w:r>
      <w:r>
        <w:t xml:space="preserve">, while </w:t>
      </w:r>
      <w:r w:rsidR="00A70DC7">
        <w:t>31</w:t>
      </w:r>
      <w:r>
        <w:t xml:space="preserve"> per cent </w:t>
      </w:r>
      <w:r w:rsidR="00A70DC7">
        <w:t>of th</w:t>
      </w:r>
      <w:r w:rsidR="000C7E09">
        <w:t xml:space="preserve">e </w:t>
      </w:r>
      <w:r>
        <w:t xml:space="preserve">adult </w:t>
      </w:r>
      <w:r w:rsidR="000C7E09">
        <w:t>cohort hold a bachelor degree</w:t>
      </w:r>
      <w:r w:rsidR="00A70DC7">
        <w:t xml:space="preserve"> (OECD average 24%)</w:t>
      </w:r>
      <w:r w:rsidR="00024E3F">
        <w:t>.</w:t>
      </w:r>
    </w:p>
    <w:p w14:paraId="428EDC2A" w14:textId="77777777" w:rsidR="00632B0A" w:rsidRPr="000C7E09" w:rsidRDefault="00632B0A" w:rsidP="003B3F3C">
      <w:pPr>
        <w:spacing w:after="0"/>
        <w:rPr>
          <w:b/>
        </w:rPr>
      </w:pPr>
    </w:p>
    <w:p w14:paraId="25E90B77" w14:textId="1DDED366" w:rsidR="002703E3" w:rsidRDefault="00A70DC7" w:rsidP="007B296E">
      <w:pPr>
        <w:spacing w:after="0"/>
      </w:pPr>
      <w:r>
        <w:t xml:space="preserve">ICT, engineering, manufacturing and construction are important </w:t>
      </w:r>
      <w:r w:rsidR="00FF1DF0">
        <w:t xml:space="preserve">sectors </w:t>
      </w:r>
      <w:r w:rsidR="00CC3552">
        <w:t xml:space="preserve">to </w:t>
      </w:r>
      <w:r>
        <w:t>foster innovation and economic growth</w:t>
      </w:r>
      <w:r w:rsidR="00CC3552">
        <w:t xml:space="preserve">. </w:t>
      </w:r>
      <w:r w:rsidR="00613792">
        <w:t>I</w:t>
      </w:r>
      <w:r w:rsidR="00CC3552">
        <w:t xml:space="preserve">n Australia </w:t>
      </w:r>
      <w:r w:rsidR="00613792">
        <w:t>12</w:t>
      </w:r>
      <w:r w:rsidR="00FF1DF0">
        <w:t xml:space="preserve"> per cent </w:t>
      </w:r>
      <w:r w:rsidR="00613792">
        <w:t xml:space="preserve">of adults </w:t>
      </w:r>
      <w:r w:rsidR="00CC3552">
        <w:t xml:space="preserve">have a degree in engineering, manufacturing and construction, but only </w:t>
      </w:r>
      <w:r w:rsidR="00FF1DF0">
        <w:t xml:space="preserve">eight per cent </w:t>
      </w:r>
      <w:r w:rsidR="00CC3552">
        <w:t>of tertiary students graduating in 2017 had studied in this field.</w:t>
      </w:r>
      <w:r w:rsidR="00632B0A">
        <w:t xml:space="preserve"> </w:t>
      </w:r>
      <w:r w:rsidR="00FF1DF0">
        <w:t xml:space="preserve">It is also widely accepted that some degrees have better employment outcomes than others. </w:t>
      </w:r>
    </w:p>
    <w:p w14:paraId="325B0A5D" w14:textId="77777777" w:rsidR="00B1145C" w:rsidRDefault="00B1145C"/>
    <w:p w14:paraId="05AFE399" w14:textId="77777777" w:rsidR="00C84729" w:rsidRPr="00523253" w:rsidRDefault="00E10D85" w:rsidP="00CE554D">
      <w:pPr>
        <w:ind w:left="142"/>
        <w:rPr>
          <w:b/>
          <w:color w:val="1F497D" w:themeColor="text2"/>
          <w:sz w:val="24"/>
        </w:rPr>
      </w:pPr>
      <w:r>
        <w:rPr>
          <w:b/>
          <w:color w:val="1F497D" w:themeColor="text2"/>
          <w:sz w:val="24"/>
        </w:rPr>
        <w:t xml:space="preserve">Table </w:t>
      </w:r>
      <w:r w:rsidR="00D81EF0">
        <w:rPr>
          <w:b/>
          <w:color w:val="1F497D" w:themeColor="text2"/>
          <w:sz w:val="24"/>
        </w:rPr>
        <w:t xml:space="preserve">4 </w:t>
      </w:r>
      <w:r w:rsidR="00C84729" w:rsidRPr="00523253">
        <w:rPr>
          <w:b/>
          <w:color w:val="1F497D" w:themeColor="text2"/>
          <w:sz w:val="24"/>
        </w:rPr>
        <w:t>Employment Outcomes for Graduates by Study Field, 2018</w:t>
      </w:r>
    </w:p>
    <w:p w14:paraId="47BB2625" w14:textId="77777777" w:rsidR="00F568D8" w:rsidRDefault="00C84729" w:rsidP="00CE554D">
      <w:pPr>
        <w:ind w:left="349" w:hanging="207"/>
      </w:pPr>
      <w:r w:rsidRPr="00C84729">
        <w:rPr>
          <w:noProof/>
          <w:lang w:eastAsia="en-AU"/>
        </w:rPr>
        <w:drawing>
          <wp:inline distT="0" distB="0" distL="0" distR="0" wp14:anchorId="47BA65A9" wp14:editId="54DADCA9">
            <wp:extent cx="5731510" cy="400875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31510" cy="4008755"/>
                    </a:xfrm>
                    <a:prstGeom prst="rect">
                      <a:avLst/>
                    </a:prstGeom>
                  </pic:spPr>
                </pic:pic>
              </a:graphicData>
            </a:graphic>
          </wp:inline>
        </w:drawing>
      </w:r>
      <w:r w:rsidR="00F568D8" w:rsidRPr="00DB03C8">
        <w:rPr>
          <w:sz w:val="18"/>
          <w:szCs w:val="18"/>
        </w:rPr>
        <w:t xml:space="preserve">Source:  </w:t>
      </w:r>
      <w:r w:rsidR="00F568D8" w:rsidRPr="00DB03C8">
        <w:rPr>
          <w:i/>
          <w:sz w:val="18"/>
          <w:szCs w:val="18"/>
        </w:rPr>
        <w:t>The Future of Work for Australian Graduates:  The Changing Landscape of University-Employment Transitions in Australia October 2018</w:t>
      </w:r>
    </w:p>
    <w:p w14:paraId="71B330CE" w14:textId="1112FFB3" w:rsidR="00CC1AAA" w:rsidRDefault="00CC1AAA" w:rsidP="00CE554D">
      <w:pPr>
        <w:ind w:left="142"/>
      </w:pPr>
      <w:r>
        <w:t>Graduates tend to be employed in the broad category o</w:t>
      </w:r>
      <w:r w:rsidR="00922C00">
        <w:t>f p</w:t>
      </w:r>
      <w:r w:rsidR="00024E3F">
        <w:t>rofessions</w:t>
      </w:r>
      <w:r w:rsidR="00F00F98">
        <w:t>.</w:t>
      </w:r>
      <w:r w:rsidR="00024E3F">
        <w:t xml:space="preserve"> </w:t>
      </w:r>
      <w:r>
        <w:t xml:space="preserve">It is anticipated </w:t>
      </w:r>
      <w:r w:rsidR="00FF1DF0">
        <w:t xml:space="preserve">that </w:t>
      </w:r>
      <w:r>
        <w:t>107</w:t>
      </w:r>
      <w:r w:rsidR="00024E3F">
        <w:t>,</w:t>
      </w:r>
      <w:r>
        <w:t>000 new jobs will be required in the professional field to 2023.</w:t>
      </w:r>
    </w:p>
    <w:p w14:paraId="0264471A" w14:textId="5DC903A6" w:rsidR="00CC3552" w:rsidRDefault="00CC3552" w:rsidP="00CE554D">
      <w:pPr>
        <w:ind w:left="142"/>
      </w:pPr>
      <w:r>
        <w:t xml:space="preserve">There is increasing evidence that </w:t>
      </w:r>
      <w:r w:rsidR="00FF1DF0">
        <w:t xml:space="preserve">demand for </w:t>
      </w:r>
      <w:r>
        <w:t>graduate</w:t>
      </w:r>
      <w:r w:rsidR="00FF1DF0">
        <w:t xml:space="preserve">s </w:t>
      </w:r>
      <w:r>
        <w:t>is softening and that m</w:t>
      </w:r>
      <w:r w:rsidR="00D025AC">
        <w:t xml:space="preserve">any </w:t>
      </w:r>
      <w:r w:rsidR="004107E9">
        <w:t xml:space="preserve">graduates </w:t>
      </w:r>
      <w:r w:rsidR="00D025AC">
        <w:t>are over</w:t>
      </w:r>
      <w:r w:rsidR="004107E9">
        <w:t>-</w:t>
      </w:r>
      <w:r>
        <w:t>educated and over</w:t>
      </w:r>
      <w:r w:rsidR="004107E9">
        <w:t>-</w:t>
      </w:r>
      <w:r>
        <w:t xml:space="preserve">skilled </w:t>
      </w:r>
      <w:r w:rsidR="00FF1DF0">
        <w:t>for t</w:t>
      </w:r>
      <w:r>
        <w:t>he jobs they are performing.</w:t>
      </w:r>
    </w:p>
    <w:p w14:paraId="5C085216" w14:textId="5D21B3ED" w:rsidR="00BA12B5" w:rsidRDefault="00BA12B5" w:rsidP="00CE554D">
      <w:pPr>
        <w:ind w:left="142"/>
      </w:pPr>
      <w:r>
        <w:t>In 2018, 39</w:t>
      </w:r>
      <w:r w:rsidR="00FF1DF0">
        <w:t xml:space="preserve"> per cent </w:t>
      </w:r>
      <w:r>
        <w:t>of all undergraduates employed (full-time and part-time) and 27</w:t>
      </w:r>
      <w:r w:rsidR="00FF1DF0">
        <w:t xml:space="preserve"> per cent </w:t>
      </w:r>
      <w:r>
        <w:t>of graduates in full-time work said their jobs did not allow them to fully use their skills or education. Three out of five graduates in full-time work in 2018 took a job unrelated to their study. (QILT 2018).</w:t>
      </w:r>
    </w:p>
    <w:p w14:paraId="6DCDE232" w14:textId="77777777" w:rsidR="00BA12B5" w:rsidRDefault="00BA12B5" w:rsidP="00CE554D">
      <w:pPr>
        <w:spacing w:after="0"/>
        <w:ind w:left="862" w:hanging="720"/>
        <w:rPr>
          <w:b/>
          <w:color w:val="1F497D" w:themeColor="text2"/>
          <w:sz w:val="24"/>
        </w:rPr>
      </w:pPr>
      <w:r>
        <w:rPr>
          <w:b/>
          <w:color w:val="1F497D" w:themeColor="text2"/>
          <w:sz w:val="24"/>
        </w:rPr>
        <w:lastRenderedPageBreak/>
        <w:t>Table 5 Employees with Bachelor’</w:t>
      </w:r>
      <w:r w:rsidR="00F568D8">
        <w:rPr>
          <w:b/>
          <w:color w:val="1F497D" w:themeColor="text2"/>
          <w:sz w:val="24"/>
        </w:rPr>
        <w:t>s</w:t>
      </w:r>
      <w:r>
        <w:rPr>
          <w:b/>
          <w:color w:val="1F497D" w:themeColor="text2"/>
          <w:sz w:val="24"/>
        </w:rPr>
        <w:t xml:space="preserve"> Degree or Above in Clerical, Sales and Labourer Occupations</w:t>
      </w:r>
    </w:p>
    <w:p w14:paraId="0E6B7740" w14:textId="77777777" w:rsidR="00BA12B5" w:rsidRDefault="00DB03C8" w:rsidP="00BA12B5">
      <w:pPr>
        <w:tabs>
          <w:tab w:val="left" w:pos="1134"/>
        </w:tabs>
        <w:ind w:left="360"/>
      </w:pPr>
      <w:r w:rsidRPr="00DB03C8">
        <w:rPr>
          <w:noProof/>
          <w:lang w:eastAsia="en-AU"/>
        </w:rPr>
        <w:drawing>
          <wp:inline distT="0" distB="0" distL="0" distR="0" wp14:anchorId="6B50182F" wp14:editId="7ABCA647">
            <wp:extent cx="5731510" cy="3024505"/>
            <wp:effectExtent l="0" t="0" r="2540" b="444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731510" cy="3024505"/>
                    </a:xfrm>
                    <a:prstGeom prst="rect">
                      <a:avLst/>
                    </a:prstGeom>
                  </pic:spPr>
                </pic:pic>
              </a:graphicData>
            </a:graphic>
          </wp:inline>
        </w:drawing>
      </w:r>
    </w:p>
    <w:p w14:paraId="4BCA990F" w14:textId="77777777" w:rsidR="00F568D8" w:rsidRDefault="00DB03C8" w:rsidP="00DB03C8">
      <w:pPr>
        <w:ind w:left="720"/>
        <w:rPr>
          <w:i/>
          <w:sz w:val="18"/>
          <w:szCs w:val="18"/>
        </w:rPr>
      </w:pPr>
      <w:r w:rsidRPr="00DB03C8">
        <w:rPr>
          <w:sz w:val="18"/>
          <w:szCs w:val="18"/>
        </w:rPr>
        <w:t xml:space="preserve">Source:  </w:t>
      </w:r>
      <w:r w:rsidRPr="00DB03C8">
        <w:rPr>
          <w:i/>
          <w:sz w:val="18"/>
          <w:szCs w:val="18"/>
        </w:rPr>
        <w:t>The Future of Work for Australian Graduates:  The Changing Landscape of University-Employment Transitions in Australia</w:t>
      </w:r>
      <w:r w:rsidR="00F568D8">
        <w:rPr>
          <w:i/>
          <w:sz w:val="18"/>
          <w:szCs w:val="18"/>
        </w:rPr>
        <w:t xml:space="preserve"> (</w:t>
      </w:r>
      <w:r w:rsidRPr="00DB03C8">
        <w:rPr>
          <w:i/>
          <w:sz w:val="18"/>
          <w:szCs w:val="18"/>
        </w:rPr>
        <w:t>October 2018</w:t>
      </w:r>
      <w:r w:rsidR="00F568D8">
        <w:rPr>
          <w:i/>
          <w:sz w:val="18"/>
          <w:szCs w:val="18"/>
        </w:rPr>
        <w:t>).</w:t>
      </w:r>
    </w:p>
    <w:p w14:paraId="365EA0E1" w14:textId="1BB27097" w:rsidR="00CC3552" w:rsidRDefault="00BB4348" w:rsidP="00CE554D">
      <w:r>
        <w:t xml:space="preserve">There has been little </w:t>
      </w:r>
      <w:r w:rsidR="00FF1DF0">
        <w:t>to</w:t>
      </w:r>
      <w:r>
        <w:t xml:space="preserve"> no change in the </w:t>
      </w:r>
      <w:r w:rsidR="00FF1DF0">
        <w:t xml:space="preserve">socio-economic backgrounds </w:t>
      </w:r>
      <w:r w:rsidR="00D025AC">
        <w:t xml:space="preserve">of </w:t>
      </w:r>
      <w:r>
        <w:t>students in Australian universities.</w:t>
      </w:r>
      <w:r w:rsidR="00D64908">
        <w:t xml:space="preserve"> </w:t>
      </w:r>
      <w:r w:rsidR="009A46C3">
        <w:t>Providing access on the grounds of e</w:t>
      </w:r>
      <w:r w:rsidR="00D64908">
        <w:t>quity</w:t>
      </w:r>
      <w:r w:rsidR="000A7A91">
        <w:t>,</w:t>
      </w:r>
      <w:r w:rsidR="00D64908">
        <w:t xml:space="preserve"> in terms of disadvantaged students</w:t>
      </w:r>
      <w:r w:rsidR="000A7A91">
        <w:t>,</w:t>
      </w:r>
      <w:r w:rsidR="00D64908">
        <w:t xml:space="preserve"> </w:t>
      </w:r>
      <w:r w:rsidR="003A28B7">
        <w:t xml:space="preserve">has not been a </w:t>
      </w:r>
      <w:r w:rsidR="00D64908">
        <w:t>priority</w:t>
      </w:r>
      <w:r w:rsidR="004107E9">
        <w:t xml:space="preserve"> for universities</w:t>
      </w:r>
      <w:r w:rsidR="00D64908">
        <w:t>.</w:t>
      </w:r>
    </w:p>
    <w:p w14:paraId="674E95B4" w14:textId="77777777" w:rsidR="00D025AC" w:rsidRDefault="004E4EC2" w:rsidP="00CE554D">
      <w:pPr>
        <w:spacing w:after="0"/>
        <w:ind w:right="118"/>
        <w:rPr>
          <w:b/>
          <w:color w:val="1F497D" w:themeColor="text2"/>
          <w:sz w:val="24"/>
        </w:rPr>
      </w:pPr>
      <w:r>
        <w:rPr>
          <w:b/>
          <w:color w:val="1F497D" w:themeColor="text2"/>
          <w:sz w:val="24"/>
        </w:rPr>
        <w:t xml:space="preserve">Table </w:t>
      </w:r>
      <w:r w:rsidR="00D81EF0">
        <w:rPr>
          <w:b/>
          <w:color w:val="1F497D" w:themeColor="text2"/>
          <w:sz w:val="24"/>
        </w:rPr>
        <w:t xml:space="preserve">6 </w:t>
      </w:r>
      <w:r w:rsidR="00D025AC" w:rsidRPr="004D11AB">
        <w:rPr>
          <w:b/>
          <w:color w:val="1F497D" w:themeColor="text2"/>
          <w:sz w:val="24"/>
        </w:rPr>
        <w:t>Low SES enrolment proportion by institutional groupings, 2012-2017</w:t>
      </w:r>
    </w:p>
    <w:p w14:paraId="4CD1FC8C" w14:textId="77777777" w:rsidR="004E4EC2" w:rsidRPr="004D11AB" w:rsidRDefault="004E4EC2" w:rsidP="00D025AC">
      <w:pPr>
        <w:spacing w:after="0"/>
        <w:ind w:left="360" w:right="118"/>
        <w:rPr>
          <w:b/>
          <w:color w:val="1F497D" w:themeColor="text2"/>
          <w:sz w:val="24"/>
        </w:rPr>
      </w:pPr>
    </w:p>
    <w:tbl>
      <w:tblPr>
        <w:tblStyle w:val="TableGrid"/>
        <w:tblW w:w="9344" w:type="dxa"/>
        <w:tblInd w:w="-5" w:type="dxa"/>
        <w:tblBorders>
          <w:top w:val="single" w:sz="4" w:space="0" w:color="1F497D" w:themeColor="text2"/>
          <w:left w:val="single" w:sz="4" w:space="0" w:color="1F497D" w:themeColor="text2"/>
          <w:bottom w:val="single" w:sz="4" w:space="0" w:color="1F497D" w:themeColor="text2"/>
          <w:right w:val="single" w:sz="4" w:space="0" w:color="1F497D" w:themeColor="text2"/>
          <w:insideH w:val="none" w:sz="0" w:space="0" w:color="auto"/>
          <w:insideV w:val="none" w:sz="0" w:space="0" w:color="auto"/>
        </w:tblBorders>
        <w:tblLook w:val="04A0" w:firstRow="1" w:lastRow="0" w:firstColumn="1" w:lastColumn="0" w:noHBand="0" w:noVBand="1"/>
      </w:tblPr>
      <w:tblGrid>
        <w:gridCol w:w="2812"/>
        <w:gridCol w:w="941"/>
        <w:gridCol w:w="1128"/>
        <w:gridCol w:w="1128"/>
        <w:gridCol w:w="1128"/>
        <w:gridCol w:w="1128"/>
        <w:gridCol w:w="1079"/>
      </w:tblGrid>
      <w:tr w:rsidR="004E4EC2" w:rsidRPr="004E4EC2" w14:paraId="01F1C918" w14:textId="77777777" w:rsidTr="00872129">
        <w:tc>
          <w:tcPr>
            <w:tcW w:w="2812" w:type="dxa"/>
            <w:shd w:val="clear" w:color="auto" w:fill="C6D9F1" w:themeFill="text2" w:themeFillTint="33"/>
          </w:tcPr>
          <w:p w14:paraId="2ED25EC0" w14:textId="77777777" w:rsidR="004E4EC2" w:rsidRPr="000B0E39" w:rsidRDefault="004E4EC2" w:rsidP="004E4EC2">
            <w:pPr>
              <w:spacing w:line="360" w:lineRule="auto"/>
              <w:ind w:right="118"/>
              <w:jc w:val="center"/>
              <w:rPr>
                <w:b/>
                <w:color w:val="1F497D" w:themeColor="text2"/>
              </w:rPr>
            </w:pPr>
          </w:p>
        </w:tc>
        <w:tc>
          <w:tcPr>
            <w:tcW w:w="941" w:type="dxa"/>
            <w:shd w:val="clear" w:color="auto" w:fill="C6D9F1" w:themeFill="text2" w:themeFillTint="33"/>
          </w:tcPr>
          <w:p w14:paraId="5789C80F" w14:textId="77777777" w:rsidR="004E4EC2" w:rsidRPr="000B0E39" w:rsidRDefault="004E4EC2" w:rsidP="001E4F5C">
            <w:pPr>
              <w:spacing w:line="360" w:lineRule="auto"/>
              <w:ind w:right="118"/>
              <w:jc w:val="center"/>
              <w:rPr>
                <w:b/>
                <w:color w:val="1F497D" w:themeColor="text2"/>
              </w:rPr>
            </w:pPr>
            <w:r w:rsidRPr="000B0E39">
              <w:rPr>
                <w:b/>
                <w:color w:val="1F497D" w:themeColor="text2"/>
              </w:rPr>
              <w:t>2012</w:t>
            </w:r>
          </w:p>
        </w:tc>
        <w:tc>
          <w:tcPr>
            <w:tcW w:w="1128" w:type="dxa"/>
            <w:shd w:val="clear" w:color="auto" w:fill="C6D9F1" w:themeFill="text2" w:themeFillTint="33"/>
          </w:tcPr>
          <w:p w14:paraId="5BCCDF42" w14:textId="77777777" w:rsidR="004E4EC2" w:rsidRPr="000B0E39" w:rsidRDefault="004E4EC2" w:rsidP="001E4F5C">
            <w:pPr>
              <w:spacing w:line="360" w:lineRule="auto"/>
              <w:ind w:right="118"/>
              <w:jc w:val="center"/>
              <w:rPr>
                <w:b/>
                <w:color w:val="1F497D" w:themeColor="text2"/>
              </w:rPr>
            </w:pPr>
            <w:r w:rsidRPr="000B0E39">
              <w:rPr>
                <w:b/>
                <w:color w:val="1F497D" w:themeColor="text2"/>
              </w:rPr>
              <w:t>2013</w:t>
            </w:r>
          </w:p>
        </w:tc>
        <w:tc>
          <w:tcPr>
            <w:tcW w:w="1128" w:type="dxa"/>
            <w:shd w:val="clear" w:color="auto" w:fill="C6D9F1" w:themeFill="text2" w:themeFillTint="33"/>
          </w:tcPr>
          <w:p w14:paraId="5D9DD1D3" w14:textId="77777777" w:rsidR="004E4EC2" w:rsidRPr="000B0E39" w:rsidRDefault="004E4EC2" w:rsidP="001E4F5C">
            <w:pPr>
              <w:spacing w:line="360" w:lineRule="auto"/>
              <w:ind w:right="118"/>
              <w:jc w:val="center"/>
              <w:rPr>
                <w:b/>
                <w:color w:val="1F497D" w:themeColor="text2"/>
              </w:rPr>
            </w:pPr>
            <w:r w:rsidRPr="000B0E39">
              <w:rPr>
                <w:b/>
                <w:color w:val="1F497D" w:themeColor="text2"/>
              </w:rPr>
              <w:t>2014</w:t>
            </w:r>
          </w:p>
        </w:tc>
        <w:tc>
          <w:tcPr>
            <w:tcW w:w="1128" w:type="dxa"/>
            <w:shd w:val="clear" w:color="auto" w:fill="C6D9F1" w:themeFill="text2" w:themeFillTint="33"/>
          </w:tcPr>
          <w:p w14:paraId="0A87663F" w14:textId="77777777" w:rsidR="004E4EC2" w:rsidRPr="000B0E39" w:rsidRDefault="004E4EC2" w:rsidP="001E4F5C">
            <w:pPr>
              <w:spacing w:line="360" w:lineRule="auto"/>
              <w:ind w:right="118"/>
              <w:jc w:val="center"/>
              <w:rPr>
                <w:b/>
                <w:color w:val="1F497D" w:themeColor="text2"/>
              </w:rPr>
            </w:pPr>
            <w:r w:rsidRPr="000B0E39">
              <w:rPr>
                <w:b/>
                <w:color w:val="1F497D" w:themeColor="text2"/>
              </w:rPr>
              <w:t>2015</w:t>
            </w:r>
          </w:p>
        </w:tc>
        <w:tc>
          <w:tcPr>
            <w:tcW w:w="1128" w:type="dxa"/>
            <w:shd w:val="clear" w:color="auto" w:fill="C6D9F1" w:themeFill="text2" w:themeFillTint="33"/>
          </w:tcPr>
          <w:p w14:paraId="076A2328" w14:textId="77777777" w:rsidR="004E4EC2" w:rsidRPr="000B0E39" w:rsidRDefault="004E4EC2" w:rsidP="001E4F5C">
            <w:pPr>
              <w:spacing w:line="360" w:lineRule="auto"/>
              <w:ind w:right="118"/>
              <w:jc w:val="center"/>
              <w:rPr>
                <w:b/>
                <w:color w:val="1F497D" w:themeColor="text2"/>
              </w:rPr>
            </w:pPr>
            <w:r w:rsidRPr="000B0E39">
              <w:rPr>
                <w:b/>
                <w:color w:val="1F497D" w:themeColor="text2"/>
              </w:rPr>
              <w:t>2016</w:t>
            </w:r>
          </w:p>
        </w:tc>
        <w:tc>
          <w:tcPr>
            <w:tcW w:w="1079" w:type="dxa"/>
            <w:shd w:val="clear" w:color="auto" w:fill="C6D9F1" w:themeFill="text2" w:themeFillTint="33"/>
          </w:tcPr>
          <w:p w14:paraId="0DD365B7" w14:textId="77777777" w:rsidR="004E4EC2" w:rsidRPr="000B0E39" w:rsidRDefault="004E4EC2" w:rsidP="001E4F5C">
            <w:pPr>
              <w:spacing w:line="360" w:lineRule="auto"/>
              <w:ind w:right="118"/>
              <w:jc w:val="center"/>
              <w:rPr>
                <w:b/>
                <w:color w:val="1F497D" w:themeColor="text2"/>
              </w:rPr>
            </w:pPr>
            <w:r w:rsidRPr="000B0E39">
              <w:rPr>
                <w:b/>
                <w:color w:val="1F497D" w:themeColor="text2"/>
              </w:rPr>
              <w:t>2017</w:t>
            </w:r>
          </w:p>
        </w:tc>
      </w:tr>
      <w:tr w:rsidR="004E4EC2" w:rsidRPr="004E4EC2" w14:paraId="5422E203" w14:textId="77777777" w:rsidTr="00872129">
        <w:tc>
          <w:tcPr>
            <w:tcW w:w="2812" w:type="dxa"/>
            <w:vAlign w:val="center"/>
          </w:tcPr>
          <w:p w14:paraId="33BC4642" w14:textId="77777777" w:rsidR="004E4EC2" w:rsidRPr="004E4EC2" w:rsidRDefault="004E4EC2" w:rsidP="001E4F5C">
            <w:pPr>
              <w:spacing w:line="360" w:lineRule="auto"/>
              <w:ind w:right="118"/>
            </w:pPr>
            <w:r w:rsidRPr="004E4EC2">
              <w:t>Group of Eight</w:t>
            </w:r>
          </w:p>
        </w:tc>
        <w:tc>
          <w:tcPr>
            <w:tcW w:w="941" w:type="dxa"/>
            <w:vAlign w:val="center"/>
          </w:tcPr>
          <w:p w14:paraId="58E00FB8" w14:textId="77777777" w:rsidR="004E4EC2" w:rsidRPr="004E4EC2" w:rsidRDefault="004E4EC2" w:rsidP="001E4F5C">
            <w:pPr>
              <w:spacing w:line="360" w:lineRule="auto"/>
              <w:ind w:right="118"/>
              <w:jc w:val="center"/>
            </w:pPr>
            <w:r w:rsidRPr="004E4EC2">
              <w:t>8.8%</w:t>
            </w:r>
          </w:p>
        </w:tc>
        <w:tc>
          <w:tcPr>
            <w:tcW w:w="1128" w:type="dxa"/>
            <w:vAlign w:val="center"/>
          </w:tcPr>
          <w:p w14:paraId="26C7EA1A" w14:textId="77777777" w:rsidR="004E4EC2" w:rsidRPr="004E4EC2" w:rsidRDefault="004E4EC2" w:rsidP="001E4F5C">
            <w:pPr>
              <w:spacing w:line="360" w:lineRule="auto"/>
              <w:ind w:right="118"/>
              <w:jc w:val="center"/>
            </w:pPr>
            <w:r w:rsidRPr="004E4EC2">
              <w:t>9.1%</w:t>
            </w:r>
          </w:p>
        </w:tc>
        <w:tc>
          <w:tcPr>
            <w:tcW w:w="1128" w:type="dxa"/>
            <w:vAlign w:val="center"/>
          </w:tcPr>
          <w:p w14:paraId="5E6C9C45" w14:textId="77777777" w:rsidR="004E4EC2" w:rsidRPr="004E4EC2" w:rsidRDefault="004E4EC2" w:rsidP="001E4F5C">
            <w:pPr>
              <w:spacing w:line="360" w:lineRule="auto"/>
              <w:ind w:right="118"/>
              <w:jc w:val="center"/>
            </w:pPr>
            <w:r w:rsidRPr="004E4EC2">
              <w:t>8.9%</w:t>
            </w:r>
          </w:p>
        </w:tc>
        <w:tc>
          <w:tcPr>
            <w:tcW w:w="1128" w:type="dxa"/>
            <w:vAlign w:val="center"/>
          </w:tcPr>
          <w:p w14:paraId="07B3DF15" w14:textId="77777777" w:rsidR="004E4EC2" w:rsidRPr="004E4EC2" w:rsidRDefault="004E4EC2" w:rsidP="001E4F5C">
            <w:pPr>
              <w:spacing w:line="360" w:lineRule="auto"/>
              <w:ind w:right="118"/>
              <w:jc w:val="center"/>
            </w:pPr>
            <w:r w:rsidRPr="004E4EC2">
              <w:t>8.9%</w:t>
            </w:r>
          </w:p>
        </w:tc>
        <w:tc>
          <w:tcPr>
            <w:tcW w:w="1128" w:type="dxa"/>
            <w:vAlign w:val="center"/>
          </w:tcPr>
          <w:p w14:paraId="1A81DE35" w14:textId="77777777" w:rsidR="004E4EC2" w:rsidRPr="004E4EC2" w:rsidRDefault="004E4EC2" w:rsidP="001E4F5C">
            <w:pPr>
              <w:spacing w:line="360" w:lineRule="auto"/>
              <w:ind w:right="118"/>
              <w:jc w:val="center"/>
            </w:pPr>
            <w:r w:rsidRPr="004E4EC2">
              <w:t>10.0%</w:t>
            </w:r>
          </w:p>
        </w:tc>
        <w:tc>
          <w:tcPr>
            <w:tcW w:w="1079" w:type="dxa"/>
            <w:vAlign w:val="center"/>
          </w:tcPr>
          <w:p w14:paraId="033645DD" w14:textId="77777777" w:rsidR="004E4EC2" w:rsidRPr="004E4EC2" w:rsidRDefault="004E4EC2" w:rsidP="001E4F5C">
            <w:pPr>
              <w:spacing w:line="360" w:lineRule="auto"/>
              <w:ind w:right="118"/>
              <w:jc w:val="center"/>
            </w:pPr>
            <w:r w:rsidRPr="004E4EC2">
              <w:t>9.8%</w:t>
            </w:r>
          </w:p>
        </w:tc>
      </w:tr>
      <w:tr w:rsidR="004E4EC2" w:rsidRPr="004E4EC2" w14:paraId="605C5E80" w14:textId="77777777" w:rsidTr="00872129">
        <w:tc>
          <w:tcPr>
            <w:tcW w:w="2812" w:type="dxa"/>
            <w:shd w:val="clear" w:color="auto" w:fill="C6D9F1" w:themeFill="text2" w:themeFillTint="33"/>
            <w:vAlign w:val="center"/>
          </w:tcPr>
          <w:p w14:paraId="594565CE" w14:textId="77777777" w:rsidR="004E4EC2" w:rsidRPr="004E4EC2" w:rsidRDefault="004E4EC2" w:rsidP="001E4F5C">
            <w:pPr>
              <w:spacing w:after="100" w:afterAutospacing="1"/>
              <w:ind w:right="118"/>
            </w:pPr>
            <w:r w:rsidRPr="004E4EC2">
              <w:t>Australian Technology Network of Universities</w:t>
            </w:r>
          </w:p>
        </w:tc>
        <w:tc>
          <w:tcPr>
            <w:tcW w:w="941" w:type="dxa"/>
            <w:shd w:val="clear" w:color="auto" w:fill="C6D9F1" w:themeFill="text2" w:themeFillTint="33"/>
            <w:vAlign w:val="center"/>
          </w:tcPr>
          <w:p w14:paraId="565F8313" w14:textId="77777777" w:rsidR="004E4EC2" w:rsidRPr="004E4EC2" w:rsidRDefault="004E4EC2" w:rsidP="001E4F5C">
            <w:pPr>
              <w:spacing w:line="360" w:lineRule="auto"/>
              <w:ind w:right="118"/>
              <w:jc w:val="center"/>
            </w:pPr>
            <w:r w:rsidRPr="004E4EC2">
              <w:t>13.9%</w:t>
            </w:r>
          </w:p>
        </w:tc>
        <w:tc>
          <w:tcPr>
            <w:tcW w:w="1128" w:type="dxa"/>
            <w:shd w:val="clear" w:color="auto" w:fill="C6D9F1" w:themeFill="text2" w:themeFillTint="33"/>
            <w:vAlign w:val="center"/>
          </w:tcPr>
          <w:p w14:paraId="293457AE" w14:textId="77777777" w:rsidR="004E4EC2" w:rsidRPr="004E4EC2" w:rsidRDefault="004E4EC2" w:rsidP="001E4F5C">
            <w:pPr>
              <w:spacing w:line="360" w:lineRule="auto"/>
              <w:ind w:right="118"/>
              <w:jc w:val="center"/>
            </w:pPr>
            <w:r w:rsidRPr="004E4EC2">
              <w:t>14.0%</w:t>
            </w:r>
          </w:p>
        </w:tc>
        <w:tc>
          <w:tcPr>
            <w:tcW w:w="1128" w:type="dxa"/>
            <w:shd w:val="clear" w:color="auto" w:fill="C6D9F1" w:themeFill="text2" w:themeFillTint="33"/>
            <w:vAlign w:val="center"/>
          </w:tcPr>
          <w:p w14:paraId="581477A4" w14:textId="77777777" w:rsidR="004E4EC2" w:rsidRPr="004E4EC2" w:rsidRDefault="004E4EC2" w:rsidP="001E4F5C">
            <w:pPr>
              <w:spacing w:line="360" w:lineRule="auto"/>
              <w:ind w:right="118"/>
              <w:jc w:val="center"/>
            </w:pPr>
            <w:r w:rsidRPr="004E4EC2">
              <w:t>13.9%</w:t>
            </w:r>
          </w:p>
        </w:tc>
        <w:tc>
          <w:tcPr>
            <w:tcW w:w="1128" w:type="dxa"/>
            <w:shd w:val="clear" w:color="auto" w:fill="C6D9F1" w:themeFill="text2" w:themeFillTint="33"/>
            <w:vAlign w:val="center"/>
          </w:tcPr>
          <w:p w14:paraId="243EA8B8" w14:textId="77777777" w:rsidR="004E4EC2" w:rsidRPr="004E4EC2" w:rsidRDefault="004E4EC2" w:rsidP="001E4F5C">
            <w:pPr>
              <w:spacing w:line="360" w:lineRule="auto"/>
              <w:ind w:right="118"/>
              <w:jc w:val="center"/>
            </w:pPr>
            <w:r w:rsidRPr="004E4EC2">
              <w:t>14.2%</w:t>
            </w:r>
          </w:p>
        </w:tc>
        <w:tc>
          <w:tcPr>
            <w:tcW w:w="1128" w:type="dxa"/>
            <w:shd w:val="clear" w:color="auto" w:fill="C6D9F1" w:themeFill="text2" w:themeFillTint="33"/>
            <w:vAlign w:val="center"/>
          </w:tcPr>
          <w:p w14:paraId="12DB6207" w14:textId="77777777" w:rsidR="004E4EC2" w:rsidRPr="004E4EC2" w:rsidRDefault="004E4EC2" w:rsidP="001E4F5C">
            <w:pPr>
              <w:spacing w:line="360" w:lineRule="auto"/>
              <w:ind w:right="118"/>
              <w:jc w:val="center"/>
            </w:pPr>
            <w:r w:rsidRPr="004E4EC2">
              <w:t>15.6%</w:t>
            </w:r>
          </w:p>
        </w:tc>
        <w:tc>
          <w:tcPr>
            <w:tcW w:w="1079" w:type="dxa"/>
            <w:shd w:val="clear" w:color="auto" w:fill="C6D9F1" w:themeFill="text2" w:themeFillTint="33"/>
            <w:vAlign w:val="center"/>
          </w:tcPr>
          <w:p w14:paraId="054C6F74" w14:textId="77777777" w:rsidR="004E4EC2" w:rsidRPr="004E4EC2" w:rsidRDefault="004E4EC2" w:rsidP="001E4F5C">
            <w:pPr>
              <w:spacing w:line="360" w:lineRule="auto"/>
              <w:ind w:right="118"/>
              <w:jc w:val="center"/>
            </w:pPr>
            <w:r w:rsidRPr="004E4EC2">
              <w:t>15.4%</w:t>
            </w:r>
          </w:p>
        </w:tc>
      </w:tr>
      <w:tr w:rsidR="004E4EC2" w:rsidRPr="004E4EC2" w14:paraId="286470D4" w14:textId="77777777" w:rsidTr="00872129">
        <w:tc>
          <w:tcPr>
            <w:tcW w:w="2812" w:type="dxa"/>
            <w:vAlign w:val="center"/>
          </w:tcPr>
          <w:p w14:paraId="52A23887" w14:textId="77777777" w:rsidR="004E4EC2" w:rsidRPr="004E4EC2" w:rsidRDefault="004E4EC2" w:rsidP="001E4F5C">
            <w:pPr>
              <w:ind w:right="118"/>
            </w:pPr>
            <w:r w:rsidRPr="004E4EC2">
              <w:t>Innovative Research Universities</w:t>
            </w:r>
          </w:p>
        </w:tc>
        <w:tc>
          <w:tcPr>
            <w:tcW w:w="941" w:type="dxa"/>
            <w:vAlign w:val="center"/>
          </w:tcPr>
          <w:p w14:paraId="345F7FB1" w14:textId="77777777" w:rsidR="004E4EC2" w:rsidRPr="004E4EC2" w:rsidRDefault="004E4EC2" w:rsidP="001E4F5C">
            <w:pPr>
              <w:spacing w:line="360" w:lineRule="auto"/>
              <w:ind w:right="118"/>
              <w:jc w:val="center"/>
            </w:pPr>
            <w:r w:rsidRPr="004E4EC2">
              <w:t>19.3%</w:t>
            </w:r>
          </w:p>
        </w:tc>
        <w:tc>
          <w:tcPr>
            <w:tcW w:w="1128" w:type="dxa"/>
            <w:vAlign w:val="center"/>
          </w:tcPr>
          <w:p w14:paraId="4EB26B50" w14:textId="77777777" w:rsidR="004E4EC2" w:rsidRPr="004E4EC2" w:rsidRDefault="004E4EC2" w:rsidP="001E4F5C">
            <w:pPr>
              <w:spacing w:line="360" w:lineRule="auto"/>
              <w:ind w:right="118"/>
              <w:jc w:val="center"/>
            </w:pPr>
            <w:r w:rsidRPr="004E4EC2">
              <w:t>19.8%</w:t>
            </w:r>
          </w:p>
        </w:tc>
        <w:tc>
          <w:tcPr>
            <w:tcW w:w="1128" w:type="dxa"/>
            <w:vAlign w:val="center"/>
          </w:tcPr>
          <w:p w14:paraId="2DCBB6E1" w14:textId="77777777" w:rsidR="004E4EC2" w:rsidRPr="004E4EC2" w:rsidRDefault="004E4EC2" w:rsidP="001E4F5C">
            <w:pPr>
              <w:spacing w:line="360" w:lineRule="auto"/>
              <w:ind w:right="118"/>
              <w:jc w:val="center"/>
            </w:pPr>
            <w:r w:rsidRPr="004E4EC2">
              <w:t>19.8%</w:t>
            </w:r>
          </w:p>
        </w:tc>
        <w:tc>
          <w:tcPr>
            <w:tcW w:w="1128" w:type="dxa"/>
            <w:vAlign w:val="center"/>
          </w:tcPr>
          <w:p w14:paraId="7B338EE8" w14:textId="77777777" w:rsidR="004E4EC2" w:rsidRPr="004E4EC2" w:rsidRDefault="004E4EC2" w:rsidP="001E4F5C">
            <w:pPr>
              <w:spacing w:line="360" w:lineRule="auto"/>
              <w:ind w:right="118"/>
              <w:jc w:val="center"/>
            </w:pPr>
            <w:r w:rsidRPr="004E4EC2">
              <w:t>20.2%</w:t>
            </w:r>
          </w:p>
        </w:tc>
        <w:tc>
          <w:tcPr>
            <w:tcW w:w="1128" w:type="dxa"/>
            <w:vAlign w:val="center"/>
          </w:tcPr>
          <w:p w14:paraId="03FE4AD4" w14:textId="77777777" w:rsidR="004E4EC2" w:rsidRPr="004E4EC2" w:rsidRDefault="004E4EC2" w:rsidP="001E4F5C">
            <w:pPr>
              <w:spacing w:line="360" w:lineRule="auto"/>
              <w:ind w:right="118"/>
              <w:jc w:val="center"/>
            </w:pPr>
            <w:r w:rsidRPr="004E4EC2">
              <w:t>21.8%</w:t>
            </w:r>
          </w:p>
        </w:tc>
        <w:tc>
          <w:tcPr>
            <w:tcW w:w="1079" w:type="dxa"/>
            <w:vAlign w:val="center"/>
          </w:tcPr>
          <w:p w14:paraId="4D8953E6" w14:textId="77777777" w:rsidR="004E4EC2" w:rsidRPr="004E4EC2" w:rsidRDefault="004E4EC2" w:rsidP="001E4F5C">
            <w:pPr>
              <w:spacing w:line="360" w:lineRule="auto"/>
              <w:ind w:right="118"/>
              <w:jc w:val="center"/>
            </w:pPr>
            <w:r w:rsidRPr="004E4EC2">
              <w:t>21.9%</w:t>
            </w:r>
          </w:p>
        </w:tc>
      </w:tr>
      <w:tr w:rsidR="004E4EC2" w:rsidRPr="004E4EC2" w14:paraId="14460A5E" w14:textId="77777777" w:rsidTr="00872129">
        <w:tc>
          <w:tcPr>
            <w:tcW w:w="2812" w:type="dxa"/>
            <w:shd w:val="clear" w:color="auto" w:fill="C6D9F1" w:themeFill="text2" w:themeFillTint="33"/>
            <w:vAlign w:val="center"/>
          </w:tcPr>
          <w:p w14:paraId="3049396D" w14:textId="77777777" w:rsidR="004E4EC2" w:rsidRPr="004E4EC2" w:rsidRDefault="004E4EC2" w:rsidP="001E4F5C">
            <w:pPr>
              <w:ind w:right="118"/>
            </w:pPr>
            <w:r w:rsidRPr="004E4EC2">
              <w:t>Regional Universities Network</w:t>
            </w:r>
          </w:p>
        </w:tc>
        <w:tc>
          <w:tcPr>
            <w:tcW w:w="941" w:type="dxa"/>
            <w:shd w:val="clear" w:color="auto" w:fill="C6D9F1" w:themeFill="text2" w:themeFillTint="33"/>
            <w:vAlign w:val="center"/>
          </w:tcPr>
          <w:p w14:paraId="042CDE39" w14:textId="77777777" w:rsidR="004E4EC2" w:rsidRPr="004E4EC2" w:rsidRDefault="004E4EC2" w:rsidP="001E4F5C">
            <w:pPr>
              <w:spacing w:line="360" w:lineRule="auto"/>
              <w:ind w:right="118"/>
              <w:jc w:val="center"/>
            </w:pPr>
            <w:r w:rsidRPr="004E4EC2">
              <w:t>27.6%</w:t>
            </w:r>
          </w:p>
        </w:tc>
        <w:tc>
          <w:tcPr>
            <w:tcW w:w="1128" w:type="dxa"/>
            <w:shd w:val="clear" w:color="auto" w:fill="C6D9F1" w:themeFill="text2" w:themeFillTint="33"/>
            <w:vAlign w:val="center"/>
          </w:tcPr>
          <w:p w14:paraId="4855D918" w14:textId="77777777" w:rsidR="004E4EC2" w:rsidRPr="004E4EC2" w:rsidRDefault="004E4EC2" w:rsidP="001E4F5C">
            <w:pPr>
              <w:spacing w:line="360" w:lineRule="auto"/>
              <w:ind w:right="118"/>
              <w:jc w:val="center"/>
            </w:pPr>
            <w:r w:rsidRPr="004E4EC2">
              <w:t>27.4%</w:t>
            </w:r>
          </w:p>
        </w:tc>
        <w:tc>
          <w:tcPr>
            <w:tcW w:w="1128" w:type="dxa"/>
            <w:shd w:val="clear" w:color="auto" w:fill="C6D9F1" w:themeFill="text2" w:themeFillTint="33"/>
            <w:vAlign w:val="center"/>
          </w:tcPr>
          <w:p w14:paraId="207643E3" w14:textId="77777777" w:rsidR="004E4EC2" w:rsidRPr="004E4EC2" w:rsidRDefault="004E4EC2" w:rsidP="001E4F5C">
            <w:pPr>
              <w:spacing w:line="360" w:lineRule="auto"/>
              <w:ind w:right="118"/>
              <w:jc w:val="center"/>
            </w:pPr>
            <w:r w:rsidRPr="004E4EC2">
              <w:t>26.8%</w:t>
            </w:r>
          </w:p>
        </w:tc>
        <w:tc>
          <w:tcPr>
            <w:tcW w:w="1128" w:type="dxa"/>
            <w:shd w:val="clear" w:color="auto" w:fill="C6D9F1" w:themeFill="text2" w:themeFillTint="33"/>
            <w:vAlign w:val="center"/>
          </w:tcPr>
          <w:p w14:paraId="741730F5" w14:textId="77777777" w:rsidR="004E4EC2" w:rsidRPr="004E4EC2" w:rsidRDefault="004E4EC2" w:rsidP="001E4F5C">
            <w:pPr>
              <w:spacing w:line="360" w:lineRule="auto"/>
              <w:ind w:right="118"/>
              <w:jc w:val="center"/>
            </w:pPr>
            <w:r w:rsidRPr="004E4EC2">
              <w:t>26.8%</w:t>
            </w:r>
          </w:p>
        </w:tc>
        <w:tc>
          <w:tcPr>
            <w:tcW w:w="1128" w:type="dxa"/>
            <w:shd w:val="clear" w:color="auto" w:fill="C6D9F1" w:themeFill="text2" w:themeFillTint="33"/>
            <w:vAlign w:val="center"/>
          </w:tcPr>
          <w:p w14:paraId="38BE0A82" w14:textId="77777777" w:rsidR="004E4EC2" w:rsidRPr="004E4EC2" w:rsidRDefault="004E4EC2" w:rsidP="001E4F5C">
            <w:pPr>
              <w:spacing w:line="360" w:lineRule="auto"/>
              <w:ind w:right="118"/>
              <w:jc w:val="center"/>
            </w:pPr>
            <w:r w:rsidRPr="004E4EC2">
              <w:t>27.5%</w:t>
            </w:r>
          </w:p>
        </w:tc>
        <w:tc>
          <w:tcPr>
            <w:tcW w:w="1079" w:type="dxa"/>
            <w:shd w:val="clear" w:color="auto" w:fill="C6D9F1" w:themeFill="text2" w:themeFillTint="33"/>
            <w:vAlign w:val="center"/>
          </w:tcPr>
          <w:p w14:paraId="6DA5FF75" w14:textId="77777777" w:rsidR="004E4EC2" w:rsidRPr="004E4EC2" w:rsidRDefault="004E4EC2" w:rsidP="001E4F5C">
            <w:pPr>
              <w:spacing w:line="360" w:lineRule="auto"/>
              <w:ind w:right="118"/>
              <w:jc w:val="center"/>
            </w:pPr>
            <w:r w:rsidRPr="004E4EC2">
              <w:t>27.6%</w:t>
            </w:r>
          </w:p>
        </w:tc>
      </w:tr>
      <w:tr w:rsidR="004E4EC2" w:rsidRPr="004E4EC2" w14:paraId="3C9DDF12" w14:textId="77777777" w:rsidTr="00872129">
        <w:tc>
          <w:tcPr>
            <w:tcW w:w="2812" w:type="dxa"/>
            <w:vAlign w:val="center"/>
          </w:tcPr>
          <w:p w14:paraId="5E086A20" w14:textId="77777777" w:rsidR="004E4EC2" w:rsidRPr="004E4EC2" w:rsidRDefault="004E4EC2" w:rsidP="001E4F5C">
            <w:pPr>
              <w:spacing w:line="360" w:lineRule="auto"/>
              <w:ind w:right="118"/>
            </w:pPr>
            <w:r w:rsidRPr="004E4EC2">
              <w:t>Unaligned Group</w:t>
            </w:r>
          </w:p>
        </w:tc>
        <w:tc>
          <w:tcPr>
            <w:tcW w:w="941" w:type="dxa"/>
            <w:vAlign w:val="center"/>
          </w:tcPr>
          <w:p w14:paraId="03DC2D63" w14:textId="77777777" w:rsidR="004E4EC2" w:rsidRPr="004E4EC2" w:rsidRDefault="004E4EC2" w:rsidP="001E4F5C">
            <w:pPr>
              <w:spacing w:line="360" w:lineRule="auto"/>
              <w:ind w:right="118"/>
              <w:jc w:val="center"/>
            </w:pPr>
            <w:r w:rsidRPr="004E4EC2">
              <w:t>16.7%</w:t>
            </w:r>
          </w:p>
        </w:tc>
        <w:tc>
          <w:tcPr>
            <w:tcW w:w="1128" w:type="dxa"/>
            <w:vAlign w:val="center"/>
          </w:tcPr>
          <w:p w14:paraId="30C5E7B0" w14:textId="77777777" w:rsidR="004E4EC2" w:rsidRPr="004E4EC2" w:rsidRDefault="004E4EC2" w:rsidP="001E4F5C">
            <w:pPr>
              <w:spacing w:line="360" w:lineRule="auto"/>
              <w:ind w:right="118"/>
              <w:jc w:val="center"/>
            </w:pPr>
            <w:r w:rsidRPr="004E4EC2">
              <w:t>16.9%</w:t>
            </w:r>
          </w:p>
        </w:tc>
        <w:tc>
          <w:tcPr>
            <w:tcW w:w="1128" w:type="dxa"/>
            <w:vAlign w:val="center"/>
          </w:tcPr>
          <w:p w14:paraId="335611AC" w14:textId="77777777" w:rsidR="004E4EC2" w:rsidRPr="004E4EC2" w:rsidRDefault="004E4EC2" w:rsidP="001E4F5C">
            <w:pPr>
              <w:spacing w:line="360" w:lineRule="auto"/>
              <w:ind w:right="118"/>
              <w:jc w:val="center"/>
            </w:pPr>
            <w:r w:rsidRPr="004E4EC2">
              <w:t>17.0%</w:t>
            </w:r>
          </w:p>
        </w:tc>
        <w:tc>
          <w:tcPr>
            <w:tcW w:w="1128" w:type="dxa"/>
            <w:vAlign w:val="center"/>
          </w:tcPr>
          <w:p w14:paraId="07F0B8F2" w14:textId="77777777" w:rsidR="004E4EC2" w:rsidRPr="004E4EC2" w:rsidRDefault="004E4EC2" w:rsidP="001E4F5C">
            <w:pPr>
              <w:spacing w:line="360" w:lineRule="auto"/>
              <w:ind w:right="118"/>
              <w:jc w:val="center"/>
            </w:pPr>
            <w:r w:rsidRPr="004E4EC2">
              <w:t>17.0%</w:t>
            </w:r>
          </w:p>
        </w:tc>
        <w:tc>
          <w:tcPr>
            <w:tcW w:w="1128" w:type="dxa"/>
            <w:vAlign w:val="center"/>
          </w:tcPr>
          <w:p w14:paraId="38F3DE00" w14:textId="77777777" w:rsidR="004E4EC2" w:rsidRPr="004E4EC2" w:rsidRDefault="004E4EC2" w:rsidP="001E4F5C">
            <w:pPr>
              <w:spacing w:line="360" w:lineRule="auto"/>
              <w:ind w:right="118"/>
              <w:jc w:val="center"/>
            </w:pPr>
            <w:r w:rsidRPr="004E4EC2">
              <w:t>17.5%</w:t>
            </w:r>
          </w:p>
        </w:tc>
        <w:tc>
          <w:tcPr>
            <w:tcW w:w="1079" w:type="dxa"/>
            <w:vAlign w:val="center"/>
          </w:tcPr>
          <w:p w14:paraId="7E9887C7" w14:textId="77777777" w:rsidR="004E4EC2" w:rsidRPr="004E4EC2" w:rsidRDefault="004E4EC2" w:rsidP="001E4F5C">
            <w:pPr>
              <w:spacing w:line="360" w:lineRule="auto"/>
              <w:ind w:right="118"/>
              <w:jc w:val="center"/>
            </w:pPr>
            <w:r w:rsidRPr="004E4EC2">
              <w:t>17.6%</w:t>
            </w:r>
          </w:p>
        </w:tc>
      </w:tr>
    </w:tbl>
    <w:p w14:paraId="32937791" w14:textId="77777777" w:rsidR="004C4392" w:rsidRDefault="004C4392" w:rsidP="00660763">
      <w:pPr>
        <w:spacing w:after="0"/>
        <w:ind w:right="118"/>
        <w:rPr>
          <w:sz w:val="18"/>
        </w:rPr>
      </w:pPr>
    </w:p>
    <w:p w14:paraId="7A66072A" w14:textId="2B8BF06E" w:rsidR="00660763" w:rsidRPr="009B0C67" w:rsidRDefault="00660763" w:rsidP="00660763">
      <w:pPr>
        <w:spacing w:after="0"/>
        <w:ind w:right="118"/>
        <w:rPr>
          <w:sz w:val="18"/>
        </w:rPr>
      </w:pPr>
      <w:r w:rsidRPr="009B0C67">
        <w:rPr>
          <w:sz w:val="18"/>
        </w:rPr>
        <w:t xml:space="preserve">Source: Australian Government Department of Education and Training (2018). In </w:t>
      </w:r>
      <w:r w:rsidRPr="009B0C67">
        <w:rPr>
          <w:i/>
          <w:iCs/>
          <w:sz w:val="18"/>
        </w:rPr>
        <w:t xml:space="preserve">Equity Student Participation in Australian Higher Education </w:t>
      </w:r>
      <w:r w:rsidRPr="009B0C67">
        <w:rPr>
          <w:sz w:val="18"/>
        </w:rPr>
        <w:t>(p.8), National Centre for Student Equity in Higher Education (NCSEHE), Curtin University.</w:t>
      </w:r>
    </w:p>
    <w:p w14:paraId="0F838019" w14:textId="77777777" w:rsidR="00D025AC" w:rsidRDefault="00D025AC" w:rsidP="00C000E4">
      <w:pPr>
        <w:ind w:left="360"/>
      </w:pPr>
    </w:p>
    <w:p w14:paraId="42D5E84B" w14:textId="77777777" w:rsidR="00F568D8" w:rsidRDefault="00F568D8">
      <w:pPr>
        <w:rPr>
          <w:b/>
          <w:color w:val="1F497D" w:themeColor="text2"/>
          <w:sz w:val="24"/>
        </w:rPr>
      </w:pPr>
      <w:r>
        <w:rPr>
          <w:b/>
          <w:color w:val="1F497D" w:themeColor="text2"/>
          <w:sz w:val="24"/>
        </w:rPr>
        <w:br w:type="page"/>
      </w:r>
    </w:p>
    <w:p w14:paraId="233D5B57" w14:textId="77777777" w:rsidR="00BB4348" w:rsidRDefault="00BB4348" w:rsidP="003B3F3C">
      <w:pPr>
        <w:pStyle w:val="Heading2"/>
        <w:spacing w:before="0"/>
        <w:rPr>
          <w:rFonts w:ascii="Calibri" w:hAnsi="Calibri" w:cs="Calibri"/>
          <w:b/>
          <w:sz w:val="28"/>
          <w:szCs w:val="28"/>
        </w:rPr>
      </w:pPr>
      <w:bookmarkStart w:id="4" w:name="_Toc43128838"/>
      <w:r w:rsidRPr="003B3F3C">
        <w:rPr>
          <w:rFonts w:ascii="Calibri" w:hAnsi="Calibri" w:cs="Calibri"/>
          <w:b/>
          <w:sz w:val="28"/>
          <w:szCs w:val="28"/>
        </w:rPr>
        <w:lastRenderedPageBreak/>
        <w:t>Productivity and employment</w:t>
      </w:r>
      <w:r w:rsidR="003B3F3C">
        <w:rPr>
          <w:rFonts w:ascii="Calibri" w:hAnsi="Calibri" w:cs="Calibri"/>
          <w:b/>
          <w:sz w:val="28"/>
          <w:szCs w:val="28"/>
        </w:rPr>
        <w:t xml:space="preserve"> outcomes</w:t>
      </w:r>
      <w:bookmarkEnd w:id="4"/>
    </w:p>
    <w:p w14:paraId="03E5E722" w14:textId="77777777" w:rsidR="003B3F3C" w:rsidRPr="003B3F3C" w:rsidRDefault="003B3F3C" w:rsidP="003B3F3C">
      <w:pPr>
        <w:spacing w:after="0"/>
      </w:pPr>
    </w:p>
    <w:p w14:paraId="25E0C49E" w14:textId="77777777" w:rsidR="00BB4348" w:rsidRDefault="00BB4348" w:rsidP="003B3F3C">
      <w:pPr>
        <w:spacing w:after="0"/>
      </w:pPr>
      <w:r>
        <w:t>Australia’s productivity levels have fallen below the pr</w:t>
      </w:r>
      <w:r w:rsidR="00D025AC">
        <w:t>oductivity levels of the 1980s.</w:t>
      </w:r>
    </w:p>
    <w:p w14:paraId="3AE39CE4" w14:textId="77777777" w:rsidR="003B3F3C" w:rsidRDefault="003B3F3C" w:rsidP="003B3F3C">
      <w:pPr>
        <w:spacing w:after="0"/>
        <w:rPr>
          <w:b/>
          <w:color w:val="1F497D" w:themeColor="text2"/>
          <w:sz w:val="24"/>
        </w:rPr>
      </w:pPr>
    </w:p>
    <w:p w14:paraId="4906B935" w14:textId="0EB88798" w:rsidR="00D025AC" w:rsidRDefault="004E4EC2" w:rsidP="003B3F3C">
      <w:pPr>
        <w:spacing w:after="0"/>
        <w:rPr>
          <w:b/>
          <w:color w:val="1F497D" w:themeColor="text2"/>
          <w:sz w:val="24"/>
        </w:rPr>
      </w:pPr>
      <w:r>
        <w:rPr>
          <w:b/>
          <w:color w:val="1F497D" w:themeColor="text2"/>
          <w:sz w:val="24"/>
        </w:rPr>
        <w:t xml:space="preserve">Table </w:t>
      </w:r>
      <w:r w:rsidR="00D81EF0">
        <w:rPr>
          <w:b/>
          <w:color w:val="1F497D" w:themeColor="text2"/>
          <w:sz w:val="24"/>
        </w:rPr>
        <w:t xml:space="preserve">7 </w:t>
      </w:r>
      <w:r w:rsidR="00D025AC" w:rsidRPr="004D11AB">
        <w:rPr>
          <w:b/>
          <w:color w:val="1F497D" w:themeColor="text2"/>
          <w:sz w:val="24"/>
        </w:rPr>
        <w:t>Real labour productivity growth, Australia</w:t>
      </w:r>
    </w:p>
    <w:p w14:paraId="58368ED6" w14:textId="77777777" w:rsidR="00872129" w:rsidRPr="004D11AB" w:rsidRDefault="00872129" w:rsidP="003B3F3C">
      <w:pPr>
        <w:spacing w:after="0"/>
        <w:rPr>
          <w:b/>
          <w:sz w:val="24"/>
        </w:rPr>
      </w:pPr>
    </w:p>
    <w:p w14:paraId="21FC130D" w14:textId="77777777" w:rsidR="00F568D8" w:rsidRDefault="00D025AC" w:rsidP="00CE554D">
      <w:pPr>
        <w:tabs>
          <w:tab w:val="left" w:pos="567"/>
        </w:tabs>
        <w:ind w:left="142"/>
        <w:rPr>
          <w:sz w:val="18"/>
          <w:szCs w:val="18"/>
        </w:rPr>
      </w:pPr>
      <w:r w:rsidRPr="00D025AC">
        <w:rPr>
          <w:noProof/>
          <w:lang w:eastAsia="en-AU"/>
        </w:rPr>
        <w:drawing>
          <wp:inline distT="0" distB="0" distL="0" distR="0" wp14:anchorId="3243DE84" wp14:editId="7B023349">
            <wp:extent cx="4491533" cy="3248025"/>
            <wp:effectExtent l="0" t="0" r="444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524306" cy="3271725"/>
                    </a:xfrm>
                    <a:prstGeom prst="rect">
                      <a:avLst/>
                    </a:prstGeom>
                  </pic:spPr>
                </pic:pic>
              </a:graphicData>
            </a:graphic>
          </wp:inline>
        </w:drawing>
      </w:r>
    </w:p>
    <w:p w14:paraId="5E73A9AB" w14:textId="77777777" w:rsidR="00F568D8" w:rsidRDefault="00F568D8" w:rsidP="00F568D8">
      <w:pPr>
        <w:tabs>
          <w:tab w:val="left" w:pos="567"/>
        </w:tabs>
        <w:ind w:left="360"/>
      </w:pPr>
      <w:r w:rsidRPr="00DB03C8">
        <w:rPr>
          <w:sz w:val="18"/>
          <w:szCs w:val="18"/>
        </w:rPr>
        <w:t xml:space="preserve">Source:  </w:t>
      </w:r>
      <w:r w:rsidRPr="00DB03C8">
        <w:rPr>
          <w:i/>
          <w:sz w:val="18"/>
          <w:szCs w:val="18"/>
        </w:rPr>
        <w:t>The Future of Work for Australian Graduates:  The Changing Landscape of University-Employment Transitions in Australia</w:t>
      </w:r>
      <w:r>
        <w:rPr>
          <w:i/>
          <w:sz w:val="18"/>
          <w:szCs w:val="18"/>
        </w:rPr>
        <w:t xml:space="preserve"> (</w:t>
      </w:r>
      <w:r w:rsidRPr="00DB03C8">
        <w:rPr>
          <w:i/>
          <w:sz w:val="18"/>
          <w:szCs w:val="18"/>
        </w:rPr>
        <w:t>October 2018</w:t>
      </w:r>
      <w:r>
        <w:rPr>
          <w:i/>
          <w:sz w:val="18"/>
          <w:szCs w:val="18"/>
        </w:rPr>
        <w:t>).</w:t>
      </w:r>
    </w:p>
    <w:p w14:paraId="1640FE0F" w14:textId="7CF1FE41" w:rsidR="00BB4348" w:rsidRDefault="00BB4348" w:rsidP="00CE554D">
      <w:r>
        <w:t>Australia</w:t>
      </w:r>
      <w:r w:rsidR="00FE0FCB">
        <w:t xml:space="preserve"> has the </w:t>
      </w:r>
      <w:r w:rsidR="004D11AB">
        <w:t>third</w:t>
      </w:r>
      <w:r w:rsidR="00FE0FCB">
        <w:t xml:space="preserve"> highest level of underemployment in the OECD. </w:t>
      </w:r>
      <w:r w:rsidR="004107E9">
        <w:t xml:space="preserve">Given </w:t>
      </w:r>
      <w:r w:rsidR="00FE0FCB">
        <w:t>OECD comments that underemployment in countries that</w:t>
      </w:r>
      <w:r w:rsidR="00D64908">
        <w:t xml:space="preserve"> were minimally </w:t>
      </w:r>
      <w:r w:rsidR="00FE0FCB">
        <w:t>affected by the recession (</w:t>
      </w:r>
      <w:r w:rsidR="004D11AB">
        <w:t>Global Financial C</w:t>
      </w:r>
      <w:r w:rsidR="00FE0FCB">
        <w:t>risis) would suggest that this has been driven by persistent structural changes rather than temporary fluctuations in the business cycle.</w:t>
      </w:r>
      <w:r w:rsidR="00F127F3">
        <w:t xml:space="preserve"> Job precariousness, </w:t>
      </w:r>
      <w:r w:rsidR="000F764F">
        <w:t>casualization</w:t>
      </w:r>
      <w:r w:rsidR="008C6857">
        <w:t xml:space="preserve">, </w:t>
      </w:r>
      <w:r w:rsidR="00F127F3">
        <w:t>a hostile industria</w:t>
      </w:r>
      <w:r w:rsidR="008C6857">
        <w:t>l environment</w:t>
      </w:r>
      <w:r w:rsidR="00F127F3">
        <w:t xml:space="preserve"> and a vague industry policy have contributed to reducing productivity</w:t>
      </w:r>
      <w:r w:rsidR="000F764F">
        <w:t>.</w:t>
      </w:r>
    </w:p>
    <w:p w14:paraId="565F3F5E" w14:textId="77777777" w:rsidR="00F568D8" w:rsidRDefault="00F568D8">
      <w:pPr>
        <w:rPr>
          <w:b/>
          <w:color w:val="1F497D" w:themeColor="text2"/>
          <w:sz w:val="24"/>
        </w:rPr>
      </w:pPr>
      <w:r>
        <w:rPr>
          <w:b/>
          <w:color w:val="1F497D" w:themeColor="text2"/>
          <w:sz w:val="24"/>
        </w:rPr>
        <w:br w:type="page"/>
      </w:r>
    </w:p>
    <w:p w14:paraId="1F0EE2A6" w14:textId="77777777" w:rsidR="004D11AB" w:rsidRPr="00373B41" w:rsidRDefault="004E4EC2" w:rsidP="00CE554D">
      <w:pPr>
        <w:tabs>
          <w:tab w:val="left" w:pos="1134"/>
        </w:tabs>
        <w:ind w:left="774" w:hanging="774"/>
        <w:rPr>
          <w:b/>
          <w:color w:val="1F497D" w:themeColor="text2"/>
          <w:sz w:val="24"/>
        </w:rPr>
      </w:pPr>
      <w:r>
        <w:rPr>
          <w:b/>
          <w:color w:val="1F497D" w:themeColor="text2"/>
          <w:sz w:val="24"/>
        </w:rPr>
        <w:lastRenderedPageBreak/>
        <w:t xml:space="preserve">Table </w:t>
      </w:r>
      <w:r w:rsidR="00D81EF0">
        <w:rPr>
          <w:b/>
          <w:color w:val="1F497D" w:themeColor="text2"/>
          <w:sz w:val="24"/>
        </w:rPr>
        <w:t xml:space="preserve">8 </w:t>
      </w:r>
      <w:r w:rsidR="00373B41" w:rsidRPr="00373B41">
        <w:rPr>
          <w:b/>
          <w:color w:val="1F497D" w:themeColor="text2"/>
          <w:sz w:val="24"/>
        </w:rPr>
        <w:t>Percentage share of dependent workers in under-employment, 2006-2017 (or latest year)</w:t>
      </w:r>
    </w:p>
    <w:p w14:paraId="1919CA8E" w14:textId="22EFD9F2" w:rsidR="00373B41" w:rsidRPr="0061568A" w:rsidRDefault="00C85D72" w:rsidP="0033068A">
      <w:pPr>
        <w:ind w:left="284"/>
        <w:rPr>
          <w14:textOutline w14:w="9525" w14:cap="rnd" w14:cmpd="sng"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prstDash w14:val="solid"/>
            <w14:bevel/>
          </w14:textOutline>
        </w:rPr>
      </w:pPr>
      <w:r>
        <w:rPr>
          <w:noProof/>
          <w:lang w:eastAsia="en-AU"/>
        </w:rPr>
        <mc:AlternateContent>
          <mc:Choice Requires="wps">
            <w:drawing>
              <wp:anchor distT="0" distB="0" distL="114300" distR="114300" simplePos="0" relativeHeight="251667456" behindDoc="0" locked="0" layoutInCell="1" allowOverlap="1" wp14:anchorId="1DACF571" wp14:editId="2F31FC3B">
                <wp:simplePos x="0" y="0"/>
                <wp:positionH relativeFrom="margin">
                  <wp:posOffset>5537146</wp:posOffset>
                </wp:positionH>
                <wp:positionV relativeFrom="paragraph">
                  <wp:posOffset>2198120</wp:posOffset>
                </wp:positionV>
                <wp:extent cx="158442" cy="243826"/>
                <wp:effectExtent l="14605" t="80645" r="0" b="85090"/>
                <wp:wrapNone/>
                <wp:docPr id="28" name="Parallelogram 28"/>
                <wp:cNvGraphicFramePr/>
                <a:graphic xmlns:a="http://schemas.openxmlformats.org/drawingml/2006/main">
                  <a:graphicData uri="http://schemas.microsoft.com/office/word/2010/wordprocessingShape">
                    <wps:wsp>
                      <wps:cNvSpPr/>
                      <wps:spPr>
                        <a:xfrm rot="3041716" flipH="1">
                          <a:off x="0" y="0"/>
                          <a:ext cx="158442" cy="243826"/>
                        </a:xfrm>
                        <a:prstGeom prst="parallelogram">
                          <a:avLst/>
                        </a:prstGeom>
                        <a:noFill/>
                        <a:ln w="158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C6D977"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28" o:spid="_x0000_s1026" type="#_x0000_t7" style="position:absolute;margin-left:436pt;margin-top:173.1pt;width:12.5pt;height:19.2pt;rotation:-3322365fd;flip:x;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" filled="f" strokecolor="red" strokeweight="1.25pt">
                <w10:wrap anchorx="margin"/>
              </v:shape>
            </w:pict>
          </mc:Fallback>
        </mc:AlternateContent>
      </w:r>
      <w:r w:rsidR="00373B41" w:rsidRPr="00373B41">
        <w:rPr>
          <w:noProof/>
          <w:lang w:eastAsia="en-AU"/>
        </w:rPr>
        <w:drawing>
          <wp:inline distT="0" distB="0" distL="0" distR="0" wp14:anchorId="7F972562" wp14:editId="6688DA66">
            <wp:extent cx="6118310" cy="252031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142502" cy="2530281"/>
                    </a:xfrm>
                    <a:prstGeom prst="rect">
                      <a:avLst/>
                    </a:prstGeom>
                  </pic:spPr>
                </pic:pic>
              </a:graphicData>
            </a:graphic>
          </wp:inline>
        </w:drawing>
      </w:r>
      <w:r w:rsidR="00373B41" w:rsidRPr="00373B41">
        <w:rPr>
          <w:noProof/>
          <w:lang w:eastAsia="en-AU"/>
        </w:rPr>
        <w:drawing>
          <wp:inline distT="0" distB="0" distL="0" distR="0" wp14:anchorId="6F81CCF6" wp14:editId="61A0D96C">
            <wp:extent cx="5887637" cy="148780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892832" cy="1489118"/>
                    </a:xfrm>
                    <a:prstGeom prst="rect">
                      <a:avLst/>
                    </a:prstGeom>
                  </pic:spPr>
                </pic:pic>
              </a:graphicData>
            </a:graphic>
          </wp:inline>
        </w:drawing>
      </w:r>
    </w:p>
    <w:p w14:paraId="0D7C71AC" w14:textId="34D859D9" w:rsidR="0058088E" w:rsidRDefault="00093FAD" w:rsidP="00CE554D">
      <w:r>
        <w:t xml:space="preserve">The composition of Australia’s workforce </w:t>
      </w:r>
      <w:r w:rsidR="004107E9">
        <w:t>–</w:t>
      </w:r>
      <w:r>
        <w:t xml:space="preserve"> </w:t>
      </w:r>
      <w:r w:rsidR="0058088E">
        <w:t>with exceptionally high levels of graduates, a large concentration of unskilled workers</w:t>
      </w:r>
      <w:r w:rsidR="000A7A91">
        <w:t>,</w:t>
      </w:r>
      <w:r w:rsidR="0058088E">
        <w:t xml:space="preserve"> and a dearth </w:t>
      </w:r>
      <w:r w:rsidR="004D11AB">
        <w:t>of intermediate skilled workers</w:t>
      </w:r>
      <w:r>
        <w:t xml:space="preserve"> – is out of balance.</w:t>
      </w:r>
      <w:r w:rsidR="00F568D8">
        <w:t xml:space="preserve"> </w:t>
      </w:r>
    </w:p>
    <w:p w14:paraId="7A217CEB" w14:textId="711A87DA" w:rsidR="00D246A0" w:rsidRDefault="00D246A0" w:rsidP="00CE554D">
      <w:r>
        <w:t xml:space="preserve">Australia </w:t>
      </w:r>
      <w:r w:rsidR="00093FAD">
        <w:t xml:space="preserve">also </w:t>
      </w:r>
      <w:r>
        <w:t>has a high level of qualifications mismatch</w:t>
      </w:r>
      <w:r w:rsidR="00093FAD">
        <w:t>,</w:t>
      </w:r>
      <w:r>
        <w:t xml:space="preserve"> with almost as many employees being underqualified as overqualified</w:t>
      </w:r>
      <w:r w:rsidR="00632B0A">
        <w:t xml:space="preserve"> (</w:t>
      </w:r>
      <w:r w:rsidR="00193247">
        <w:t>Attachment A</w:t>
      </w:r>
      <w:r w:rsidR="00632B0A">
        <w:t>)</w:t>
      </w:r>
      <w:r>
        <w:t>.</w:t>
      </w:r>
    </w:p>
    <w:p w14:paraId="7515134E" w14:textId="7A36AFD7" w:rsidR="002853CE" w:rsidRPr="00193247" w:rsidRDefault="002853CE" w:rsidP="002853CE">
      <w:pPr>
        <w:rPr>
          <w:b/>
          <w:sz w:val="24"/>
        </w:rPr>
      </w:pPr>
      <w:r>
        <w:rPr>
          <w:b/>
          <w:sz w:val="24"/>
        </w:rPr>
        <w:br w:type="page"/>
      </w:r>
    </w:p>
    <w:p w14:paraId="4775F353" w14:textId="749A2FBC" w:rsidR="00C96978" w:rsidRPr="00C96978" w:rsidRDefault="004E4EC2" w:rsidP="00CE554D">
      <w:pPr>
        <w:jc w:val="both"/>
        <w:rPr>
          <w:rFonts w:cstheme="minorHAnsi"/>
          <w:b/>
          <w:noProof/>
          <w:color w:val="1F497D" w:themeColor="text2"/>
          <w:sz w:val="24"/>
          <w:szCs w:val="24"/>
          <w:lang w:eastAsia="en-AU"/>
        </w:rPr>
      </w:pPr>
      <w:r>
        <w:rPr>
          <w:rFonts w:cstheme="minorHAnsi"/>
          <w:b/>
          <w:noProof/>
          <w:color w:val="1F497D" w:themeColor="text2"/>
          <w:sz w:val="24"/>
          <w:szCs w:val="24"/>
          <w:lang w:eastAsia="en-AU"/>
        </w:rPr>
        <w:lastRenderedPageBreak/>
        <w:t xml:space="preserve">Table </w:t>
      </w:r>
      <w:r w:rsidR="00193247">
        <w:rPr>
          <w:rFonts w:cstheme="minorHAnsi"/>
          <w:b/>
          <w:noProof/>
          <w:color w:val="1F497D" w:themeColor="text2"/>
          <w:sz w:val="24"/>
          <w:szCs w:val="24"/>
          <w:lang w:eastAsia="en-AU"/>
        </w:rPr>
        <w:t>9</w:t>
      </w:r>
      <w:r w:rsidR="00D81EF0">
        <w:rPr>
          <w:rFonts w:cstheme="minorHAnsi"/>
          <w:b/>
          <w:noProof/>
          <w:color w:val="1F497D" w:themeColor="text2"/>
          <w:sz w:val="24"/>
          <w:szCs w:val="24"/>
          <w:lang w:eastAsia="en-AU"/>
        </w:rPr>
        <w:t xml:space="preserve"> </w:t>
      </w:r>
      <w:r w:rsidR="00C96978" w:rsidRPr="00C96978">
        <w:rPr>
          <w:rFonts w:cstheme="minorHAnsi"/>
          <w:b/>
          <w:noProof/>
          <w:color w:val="1F497D" w:themeColor="text2"/>
          <w:sz w:val="24"/>
          <w:szCs w:val="24"/>
          <w:lang w:eastAsia="en-AU"/>
        </w:rPr>
        <w:t>Incidence of qualification mismatch in PIACC</w:t>
      </w:r>
    </w:p>
    <w:p w14:paraId="13049185" w14:textId="77777777" w:rsidR="00C96978" w:rsidRDefault="00C96978" w:rsidP="00C96978">
      <w:pPr>
        <w:ind w:left="6840"/>
        <w:jc w:val="both"/>
        <w:rPr>
          <w:b/>
          <w:noProof/>
          <w:sz w:val="24"/>
          <w:szCs w:val="24"/>
          <w:lang w:eastAsia="en-AU"/>
        </w:rPr>
      </w:pPr>
      <w:r>
        <w:rPr>
          <w:noProof/>
          <w:lang w:eastAsia="en-AU"/>
        </w:rPr>
        <w:drawing>
          <wp:inline distT="0" distB="0" distL="0" distR="0" wp14:anchorId="624C9865" wp14:editId="2F7F43BE">
            <wp:extent cx="1133475" cy="439054"/>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1188089" cy="460209"/>
                    </a:xfrm>
                    <a:prstGeom prst="rect">
                      <a:avLst/>
                    </a:prstGeom>
                  </pic:spPr>
                </pic:pic>
              </a:graphicData>
            </a:graphic>
          </wp:inline>
        </w:drawing>
      </w:r>
    </w:p>
    <w:p w14:paraId="314F510B" w14:textId="4A239F7B" w:rsidR="00C96978" w:rsidRDefault="00546BB7" w:rsidP="00CE554D">
      <w:pPr>
        <w:jc w:val="both"/>
        <w:rPr>
          <w:noProof/>
          <w:lang w:eastAsia="en-AU"/>
        </w:rPr>
      </w:pPr>
      <w:r>
        <w:rPr>
          <w:noProof/>
          <w:lang w:eastAsia="en-AU"/>
        </w:rPr>
        <mc:AlternateContent>
          <mc:Choice Requires="wps">
            <w:drawing>
              <wp:anchor distT="0" distB="0" distL="114300" distR="114300" simplePos="0" relativeHeight="251665408" behindDoc="0" locked="0" layoutInCell="1" allowOverlap="1" wp14:anchorId="53AA0FF1" wp14:editId="7526A415">
                <wp:simplePos x="0" y="0"/>
                <wp:positionH relativeFrom="column">
                  <wp:posOffset>777834</wp:posOffset>
                </wp:positionH>
                <wp:positionV relativeFrom="paragraph">
                  <wp:posOffset>1303441</wp:posOffset>
                </wp:positionV>
                <wp:extent cx="1805049" cy="0"/>
                <wp:effectExtent l="0" t="0" r="24130" b="19050"/>
                <wp:wrapNone/>
                <wp:docPr id="26" name="Straight Connector 26"/>
                <wp:cNvGraphicFramePr/>
                <a:graphic xmlns:a="http://schemas.openxmlformats.org/drawingml/2006/main">
                  <a:graphicData uri="http://schemas.microsoft.com/office/word/2010/wordprocessingShape">
                    <wps:wsp>
                      <wps:cNvCnPr/>
                      <wps:spPr>
                        <a:xfrm>
                          <a:off x="0" y="0"/>
                          <a:ext cx="1805049" cy="0"/>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3026D4" id="Straight Connector 26"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25pt,102.65pt" to="203.4pt,10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" strokecolor="red" strokeweight="1.5pt"/>
            </w:pict>
          </mc:Fallback>
        </mc:AlternateContent>
      </w:r>
      <w:r w:rsidR="00C96978">
        <w:rPr>
          <w:noProof/>
          <w:lang w:eastAsia="en-AU"/>
        </w:rPr>
        <w:drawing>
          <wp:inline distT="0" distB="0" distL="0" distR="0" wp14:anchorId="40569CD3" wp14:editId="16B6E004">
            <wp:extent cx="6228715" cy="5183974"/>
            <wp:effectExtent l="0" t="0" r="63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6253641" cy="5204719"/>
                    </a:xfrm>
                    <a:prstGeom prst="rect">
                      <a:avLst/>
                    </a:prstGeom>
                  </pic:spPr>
                </pic:pic>
              </a:graphicData>
            </a:graphic>
          </wp:inline>
        </w:drawing>
      </w:r>
    </w:p>
    <w:p w14:paraId="4AE4CF8A" w14:textId="77777777" w:rsidR="00C96978" w:rsidRPr="00922137" w:rsidRDefault="00C96978" w:rsidP="00CE554D">
      <w:pPr>
        <w:ind w:left="142"/>
        <w:rPr>
          <w:rFonts w:cstheme="minorHAnsi"/>
          <w:sz w:val="18"/>
          <w:szCs w:val="18"/>
        </w:rPr>
      </w:pPr>
      <w:r w:rsidRPr="00922137">
        <w:rPr>
          <w:rFonts w:cstheme="minorHAnsi"/>
          <w:sz w:val="18"/>
          <w:szCs w:val="18"/>
        </w:rPr>
        <w:t xml:space="preserve">Source: B. Manuela and M. Simona, </w:t>
      </w:r>
      <w:r w:rsidRPr="00922137">
        <w:rPr>
          <w:rFonts w:cstheme="minorHAnsi"/>
          <w:i/>
          <w:iCs/>
          <w:sz w:val="18"/>
          <w:szCs w:val="18"/>
        </w:rPr>
        <w:t>Social Integration dynamics for migrants: PIACC to measure skill and qualification mismatch</w:t>
      </w:r>
      <w:r w:rsidRPr="00922137">
        <w:rPr>
          <w:rFonts w:cstheme="minorHAnsi"/>
          <w:sz w:val="18"/>
          <w:szCs w:val="18"/>
        </w:rPr>
        <w:t xml:space="preserve"> INAPP Public Policy Innovation, </w:t>
      </w:r>
      <w:proofErr w:type="spellStart"/>
      <w:r w:rsidRPr="00922137">
        <w:rPr>
          <w:rFonts w:cstheme="minorHAnsi"/>
          <w:sz w:val="18"/>
          <w:szCs w:val="18"/>
        </w:rPr>
        <w:t>Torina</w:t>
      </w:r>
      <w:proofErr w:type="spellEnd"/>
      <w:r w:rsidRPr="00922137">
        <w:rPr>
          <w:rFonts w:cstheme="minorHAnsi"/>
          <w:sz w:val="18"/>
          <w:szCs w:val="18"/>
        </w:rPr>
        <w:t>, 30 June 20, 2017</w:t>
      </w:r>
    </w:p>
    <w:p w14:paraId="46FAB1FB" w14:textId="289ADA01" w:rsidR="00D64908" w:rsidRDefault="00FE0FCB" w:rsidP="00CE554D">
      <w:r>
        <w:t>Australia has one of the highest shares of employees working in short, part-time jobs among OECD countries (13%). Moreover</w:t>
      </w:r>
      <w:r w:rsidR="00C96978">
        <w:t>,</w:t>
      </w:r>
      <w:r>
        <w:t xml:space="preserve"> 25</w:t>
      </w:r>
      <w:r w:rsidR="00093FAD">
        <w:t xml:space="preserve"> per cent o</w:t>
      </w:r>
      <w:r>
        <w:t>f workers in Australia are casual</w:t>
      </w:r>
      <w:r w:rsidR="004107E9">
        <w:t xml:space="preserve"> employees</w:t>
      </w:r>
      <w:r w:rsidR="00D64908">
        <w:t>.</w:t>
      </w:r>
      <w:r w:rsidR="00C96978">
        <w:t xml:space="preserve"> Y</w:t>
      </w:r>
      <w:r w:rsidR="00925408">
        <w:t>o</w:t>
      </w:r>
      <w:r w:rsidR="00C96978">
        <w:t>ung people with medium and high</w:t>
      </w:r>
      <w:r w:rsidR="00093FAD">
        <w:t>-</w:t>
      </w:r>
      <w:r w:rsidR="00925408">
        <w:t xml:space="preserve">level </w:t>
      </w:r>
      <w:r w:rsidR="0058088E">
        <w:t xml:space="preserve">qualifications </w:t>
      </w:r>
      <w:r w:rsidR="00093FAD">
        <w:t xml:space="preserve">work </w:t>
      </w:r>
      <w:r w:rsidR="00C96978">
        <w:t xml:space="preserve">increasingly in </w:t>
      </w:r>
      <w:r w:rsidR="00925408">
        <w:t>low</w:t>
      </w:r>
      <w:r w:rsidR="00093FAD">
        <w:t>-</w:t>
      </w:r>
      <w:r w:rsidR="00925408">
        <w:t>paid employment</w:t>
      </w:r>
      <w:r w:rsidR="00DC7650">
        <w:t>.</w:t>
      </w:r>
      <w:r w:rsidR="00925408">
        <w:t xml:space="preserve"> This increase</w:t>
      </w:r>
      <w:r w:rsidR="00753D76">
        <w:t xml:space="preserve"> since 2006 </w:t>
      </w:r>
      <w:r w:rsidR="00925408">
        <w:t>wa</w:t>
      </w:r>
      <w:r w:rsidR="00632B0A">
        <w:t>s larger than the OECD average.</w:t>
      </w:r>
    </w:p>
    <w:p w14:paraId="1A8AC3A7" w14:textId="62AA7CA0" w:rsidR="00925408" w:rsidRDefault="00093FAD" w:rsidP="00CE554D">
      <w:r>
        <w:t>While there is high demand for b</w:t>
      </w:r>
      <w:r w:rsidR="00D04E56">
        <w:t xml:space="preserve">oth </w:t>
      </w:r>
      <w:r w:rsidR="00753D76">
        <w:t>intermediate and high</w:t>
      </w:r>
      <w:r w:rsidR="004107E9">
        <w:t>-</w:t>
      </w:r>
      <w:r w:rsidR="00753D76">
        <w:t>skilled workers</w:t>
      </w:r>
      <w:r>
        <w:t xml:space="preserve">, there </w:t>
      </w:r>
      <w:r w:rsidR="00D04E56">
        <w:t xml:space="preserve">is no </w:t>
      </w:r>
      <w:r w:rsidR="00E91536">
        <w:t>demand for</w:t>
      </w:r>
      <w:r w:rsidR="00981691">
        <w:t xml:space="preserve"> low-</w:t>
      </w:r>
      <w:r w:rsidR="00753D76">
        <w:t xml:space="preserve">skilled workers in </w:t>
      </w:r>
      <w:r w:rsidR="00E91536">
        <w:t xml:space="preserve">Australia. </w:t>
      </w:r>
      <w:r w:rsidR="004107E9">
        <w:t>D</w:t>
      </w:r>
      <w:r w:rsidR="00753D76">
        <w:t>emand for high</w:t>
      </w:r>
      <w:r>
        <w:t>-</w:t>
      </w:r>
      <w:r w:rsidR="00753D76">
        <w:t>skilled workers</w:t>
      </w:r>
      <w:r w:rsidR="00D04E56">
        <w:t xml:space="preserve"> is </w:t>
      </w:r>
      <w:r w:rsidR="00753D76">
        <w:t xml:space="preserve">below the </w:t>
      </w:r>
      <w:r w:rsidR="00E91536">
        <w:t>OECD average</w:t>
      </w:r>
      <w:r>
        <w:t xml:space="preserve"> </w:t>
      </w:r>
      <w:r w:rsidR="004107E9">
        <w:t xml:space="preserve">while </w:t>
      </w:r>
      <w:r>
        <w:t xml:space="preserve">demand for </w:t>
      </w:r>
      <w:r w:rsidR="00753D76">
        <w:t>intermediate</w:t>
      </w:r>
      <w:r w:rsidR="00E91536">
        <w:t xml:space="preserve"> skilled workers is</w:t>
      </w:r>
      <w:r w:rsidR="00753D76">
        <w:t xml:space="preserve"> above the average.</w:t>
      </w:r>
    </w:p>
    <w:p w14:paraId="0F84EA1F" w14:textId="77777777" w:rsidR="008B6E48" w:rsidRDefault="008B6E48">
      <w:pPr>
        <w:rPr>
          <w:b/>
          <w:color w:val="1F497D" w:themeColor="text2"/>
          <w:sz w:val="24"/>
          <w:szCs w:val="24"/>
        </w:rPr>
      </w:pPr>
      <w:r>
        <w:rPr>
          <w:b/>
          <w:color w:val="1F497D" w:themeColor="text2"/>
          <w:sz w:val="24"/>
          <w:szCs w:val="24"/>
        </w:rPr>
        <w:br w:type="page"/>
      </w:r>
    </w:p>
    <w:p w14:paraId="569AD221" w14:textId="11FC1A2D" w:rsidR="00D81EF0" w:rsidRPr="00D81EF0" w:rsidRDefault="008B136E" w:rsidP="00CE554D">
      <w:pPr>
        <w:ind w:left="142"/>
        <w:rPr>
          <w:b/>
          <w:color w:val="1F497D" w:themeColor="text2"/>
          <w:sz w:val="24"/>
          <w:szCs w:val="24"/>
        </w:rPr>
      </w:pPr>
      <w:r>
        <w:rPr>
          <w:b/>
          <w:color w:val="1F497D" w:themeColor="text2"/>
          <w:sz w:val="24"/>
          <w:szCs w:val="24"/>
        </w:rPr>
        <w:lastRenderedPageBreak/>
        <w:t xml:space="preserve">Table </w:t>
      </w:r>
      <w:r w:rsidR="00193247">
        <w:rPr>
          <w:b/>
          <w:color w:val="1F497D" w:themeColor="text2"/>
          <w:sz w:val="24"/>
          <w:szCs w:val="24"/>
        </w:rPr>
        <w:t>10</w:t>
      </w:r>
      <w:r w:rsidR="00D81EF0">
        <w:rPr>
          <w:b/>
          <w:color w:val="1F497D" w:themeColor="text2"/>
          <w:sz w:val="24"/>
          <w:szCs w:val="24"/>
        </w:rPr>
        <w:t xml:space="preserve"> </w:t>
      </w:r>
      <w:r w:rsidR="00D81EF0" w:rsidRPr="00D81EF0">
        <w:rPr>
          <w:b/>
          <w:color w:val="1F497D" w:themeColor="text2"/>
          <w:sz w:val="24"/>
          <w:szCs w:val="24"/>
        </w:rPr>
        <w:t>Share of employment in high demand by skill level</w:t>
      </w:r>
    </w:p>
    <w:p w14:paraId="0C7C2EB5" w14:textId="3DBD76F5" w:rsidR="00D81EF0" w:rsidRDefault="00C85D72" w:rsidP="00CE554D">
      <w:r>
        <w:rPr>
          <w:noProof/>
          <w:lang w:eastAsia="en-AU"/>
        </w:rPr>
        <mc:AlternateContent>
          <mc:Choice Requires="wps">
            <w:drawing>
              <wp:anchor distT="0" distB="0" distL="114300" distR="114300" simplePos="0" relativeHeight="251666432" behindDoc="0" locked="0" layoutInCell="1" allowOverlap="1" wp14:anchorId="3758D427" wp14:editId="1F238018">
                <wp:simplePos x="0" y="0"/>
                <wp:positionH relativeFrom="column">
                  <wp:posOffset>3320466</wp:posOffset>
                </wp:positionH>
                <wp:positionV relativeFrom="paragraph">
                  <wp:posOffset>1924355</wp:posOffset>
                </wp:positionV>
                <wp:extent cx="109728" cy="394639"/>
                <wp:effectExtent l="0" t="0" r="24130" b="24765"/>
                <wp:wrapNone/>
                <wp:docPr id="27" name="Rectangle 27"/>
                <wp:cNvGraphicFramePr/>
                <a:graphic xmlns:a="http://schemas.openxmlformats.org/drawingml/2006/main">
                  <a:graphicData uri="http://schemas.microsoft.com/office/word/2010/wordprocessingShape">
                    <wps:wsp>
                      <wps:cNvSpPr/>
                      <wps:spPr>
                        <a:xfrm>
                          <a:off x="0" y="0"/>
                          <a:ext cx="109728" cy="394639"/>
                        </a:xfrm>
                        <a:prstGeom prst="rect">
                          <a:avLst/>
                        </a:prstGeom>
                        <a:noFill/>
                        <a:ln w="158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E27377" id="Rectangle 27" o:spid="_x0000_s1026" style="position:absolute;margin-left:261.45pt;margin-top:151.5pt;width:8.65pt;height:31.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" filled="f" strokecolor="red" strokeweight="1.25pt"/>
            </w:pict>
          </mc:Fallback>
        </mc:AlternateContent>
      </w:r>
      <w:r w:rsidR="00D81EF0" w:rsidRPr="00D81EF0">
        <w:rPr>
          <w:noProof/>
          <w:lang w:eastAsia="en-AU"/>
        </w:rPr>
        <w:drawing>
          <wp:inline distT="0" distB="0" distL="0" distR="0" wp14:anchorId="6E4F1B6A" wp14:editId="28895AD7">
            <wp:extent cx="6078050" cy="31089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6211100" cy="3177016"/>
                    </a:xfrm>
                    <a:prstGeom prst="rect">
                      <a:avLst/>
                    </a:prstGeom>
                  </pic:spPr>
                </pic:pic>
              </a:graphicData>
            </a:graphic>
          </wp:inline>
        </w:drawing>
      </w:r>
    </w:p>
    <w:p w14:paraId="13188CC1" w14:textId="2384CC2A" w:rsidR="00D64908" w:rsidRDefault="00136E37" w:rsidP="00CE554D">
      <w:r>
        <w:t>The h</w:t>
      </w:r>
      <w:r w:rsidR="00D81EF0">
        <w:t>ighest j</w:t>
      </w:r>
      <w:r w:rsidR="00D04E56">
        <w:t xml:space="preserve">obs growth in Australia </w:t>
      </w:r>
      <w:r w:rsidR="00D81EF0">
        <w:t>is predicted</w:t>
      </w:r>
      <w:r w:rsidR="00D04E56">
        <w:t xml:space="preserve"> to </w:t>
      </w:r>
      <w:r w:rsidR="00D81EF0">
        <w:t>be in</w:t>
      </w:r>
      <w:r w:rsidR="00D04E56">
        <w:t xml:space="preserve"> intermediate/</w:t>
      </w:r>
      <w:r w:rsidR="00D81EF0">
        <w:t>higher related</w:t>
      </w:r>
      <w:r w:rsidR="00D04E56">
        <w:t xml:space="preserve"> skills areas</w:t>
      </w:r>
      <w:r w:rsidR="00D81EF0">
        <w:t>, notably health</w:t>
      </w:r>
      <w:r w:rsidR="00D04E56">
        <w:t>,</w:t>
      </w:r>
      <w:r w:rsidR="00D81EF0">
        <w:t xml:space="preserve"> </w:t>
      </w:r>
      <w:r w:rsidR="00D04E56">
        <w:t>const</w:t>
      </w:r>
      <w:r w:rsidR="00D81EF0">
        <w:t>ruction, education and training</w:t>
      </w:r>
      <w:r w:rsidR="00D04E56">
        <w:t>.</w:t>
      </w:r>
      <w:r w:rsidR="00D81EF0">
        <w:t xml:space="preserve"> Professional</w:t>
      </w:r>
      <w:r w:rsidR="00D04E56">
        <w:t>,</w:t>
      </w:r>
      <w:r w:rsidR="00D81EF0">
        <w:t xml:space="preserve"> </w:t>
      </w:r>
      <w:r w:rsidR="00D04E56">
        <w:t>scientific and technical services</w:t>
      </w:r>
      <w:r w:rsidR="00093FAD">
        <w:t>, primarily in software and applications programmers,</w:t>
      </w:r>
      <w:r w:rsidR="00D04E56">
        <w:t xml:space="preserve"> </w:t>
      </w:r>
      <w:r w:rsidR="00D81EF0">
        <w:t>are</w:t>
      </w:r>
      <w:r w:rsidR="00D04E56">
        <w:t xml:space="preserve"> predicted to continue to grow</w:t>
      </w:r>
      <w:r w:rsidR="00093FAD">
        <w:t>.</w:t>
      </w:r>
    </w:p>
    <w:p w14:paraId="2FDC8807" w14:textId="33EFD84A" w:rsidR="00E65996" w:rsidRPr="00D025AC" w:rsidRDefault="004E4EC2" w:rsidP="00CE554D">
      <w:pPr>
        <w:rPr>
          <w:b/>
          <w:color w:val="1F497D" w:themeColor="text2"/>
          <w:sz w:val="24"/>
        </w:rPr>
      </w:pPr>
      <w:r>
        <w:rPr>
          <w:b/>
          <w:color w:val="1F497D" w:themeColor="text2"/>
          <w:sz w:val="24"/>
          <w:szCs w:val="24"/>
        </w:rPr>
        <w:t xml:space="preserve">Table </w:t>
      </w:r>
      <w:r w:rsidR="00193247">
        <w:rPr>
          <w:b/>
          <w:color w:val="1F497D" w:themeColor="text2"/>
          <w:sz w:val="24"/>
          <w:szCs w:val="24"/>
        </w:rPr>
        <w:t>11</w:t>
      </w:r>
      <w:r w:rsidR="00E65996">
        <w:rPr>
          <w:b/>
          <w:color w:val="1F497D" w:themeColor="text2"/>
          <w:sz w:val="24"/>
          <w:szCs w:val="24"/>
        </w:rPr>
        <w:t xml:space="preserve"> </w:t>
      </w:r>
      <w:r w:rsidR="00E65996" w:rsidRPr="00D025AC">
        <w:rPr>
          <w:b/>
          <w:color w:val="1F497D" w:themeColor="text2"/>
          <w:sz w:val="24"/>
        </w:rPr>
        <w:t>Projected Highest Job Growth Industries to 2023</w:t>
      </w:r>
    </w:p>
    <w:p w14:paraId="3A5B4C0F" w14:textId="77777777" w:rsidR="00E65996" w:rsidRDefault="00E65996" w:rsidP="00CE554D">
      <w:r w:rsidRPr="00CE758B">
        <w:rPr>
          <w:noProof/>
          <w:lang w:eastAsia="en-AU"/>
        </w:rPr>
        <w:drawing>
          <wp:inline distT="0" distB="0" distL="0" distR="0" wp14:anchorId="663A8511" wp14:editId="47F7B669">
            <wp:extent cx="4849978" cy="2993390"/>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4895889" cy="3021726"/>
                    </a:xfrm>
                    <a:prstGeom prst="rect">
                      <a:avLst/>
                    </a:prstGeom>
                  </pic:spPr>
                </pic:pic>
              </a:graphicData>
            </a:graphic>
          </wp:inline>
        </w:drawing>
      </w:r>
    </w:p>
    <w:p w14:paraId="5B81BB48" w14:textId="77777777" w:rsidR="00E65996" w:rsidRPr="00D81EF0" w:rsidRDefault="00E65996" w:rsidP="00C000E4">
      <w:pPr>
        <w:ind w:left="360"/>
        <w:rPr>
          <w:b/>
        </w:rPr>
      </w:pPr>
    </w:p>
    <w:p w14:paraId="1AFA9F36" w14:textId="77777777" w:rsidR="00D246A0" w:rsidRDefault="00D246A0">
      <w:pPr>
        <w:rPr>
          <w:b/>
          <w:color w:val="1F497D" w:themeColor="text2"/>
          <w:sz w:val="28"/>
        </w:rPr>
      </w:pPr>
      <w:r>
        <w:rPr>
          <w:b/>
          <w:color w:val="1F497D" w:themeColor="text2"/>
          <w:sz w:val="28"/>
        </w:rPr>
        <w:br w:type="page"/>
      </w:r>
    </w:p>
    <w:p w14:paraId="1BBA9D3B" w14:textId="77777777" w:rsidR="0058088E" w:rsidRDefault="00281954" w:rsidP="003B3F3C">
      <w:pPr>
        <w:pStyle w:val="Heading2"/>
        <w:spacing w:before="0"/>
        <w:rPr>
          <w:rFonts w:asciiTheme="minorHAnsi" w:hAnsiTheme="minorHAnsi" w:cstheme="minorHAnsi"/>
          <w:b/>
          <w:color w:val="1F497D" w:themeColor="text2"/>
          <w:sz w:val="28"/>
          <w:szCs w:val="28"/>
        </w:rPr>
      </w:pPr>
      <w:bookmarkStart w:id="5" w:name="_Toc43128839"/>
      <w:r w:rsidRPr="003B3F3C">
        <w:rPr>
          <w:rFonts w:asciiTheme="minorHAnsi" w:hAnsiTheme="minorHAnsi" w:cstheme="minorHAnsi"/>
          <w:b/>
          <w:color w:val="1F497D" w:themeColor="text2"/>
          <w:sz w:val="28"/>
          <w:szCs w:val="28"/>
        </w:rPr>
        <w:lastRenderedPageBreak/>
        <w:t>Vocational education outcomes</w:t>
      </w:r>
      <w:bookmarkEnd w:id="5"/>
    </w:p>
    <w:p w14:paraId="612EA644" w14:textId="77777777" w:rsidR="003B3F3C" w:rsidRPr="003B3F3C" w:rsidRDefault="003B3F3C" w:rsidP="003B3F3C">
      <w:pPr>
        <w:spacing w:after="0"/>
      </w:pPr>
    </w:p>
    <w:p w14:paraId="55AD63A1" w14:textId="0E1B2A37" w:rsidR="0058088E" w:rsidRDefault="007E65E4" w:rsidP="003B3F3C">
      <w:pPr>
        <w:spacing w:after="0"/>
      </w:pPr>
      <w:r>
        <w:t xml:space="preserve">The impact of shifting to a service economy, </w:t>
      </w:r>
      <w:r w:rsidR="004107E9">
        <w:t xml:space="preserve">combined with </w:t>
      </w:r>
      <w:r w:rsidR="00D81EF0">
        <w:t>a</w:t>
      </w:r>
      <w:r w:rsidR="00093FAD">
        <w:t>n inordinate</w:t>
      </w:r>
      <w:r w:rsidR="00D81EF0">
        <w:t xml:space="preserve"> focus on higher education</w:t>
      </w:r>
      <w:r>
        <w:t xml:space="preserve">, disastrous </w:t>
      </w:r>
      <w:r w:rsidR="00D81EF0">
        <w:t>ideological policy constructions</w:t>
      </w:r>
      <w:r w:rsidR="00B86BED">
        <w:t>,</w:t>
      </w:r>
      <w:r w:rsidR="00D81EF0">
        <w:t xml:space="preserve"> </w:t>
      </w:r>
      <w:r w:rsidR="00B86BED">
        <w:t>fraud an</w:t>
      </w:r>
      <w:r w:rsidR="00D81EF0">
        <w:t>d confused funding arrangements</w:t>
      </w:r>
      <w:r w:rsidR="00136E37">
        <w:t>,</w:t>
      </w:r>
      <w:r>
        <w:t xml:space="preserve"> has undermined vocational education, both in terms of</w:t>
      </w:r>
      <w:r w:rsidR="00B86BED">
        <w:t xml:space="preserve"> </w:t>
      </w:r>
      <w:r>
        <w:t>reputation and student demand.</w:t>
      </w:r>
    </w:p>
    <w:p w14:paraId="77D40B06" w14:textId="040F8A1A" w:rsidR="007E65E4" w:rsidRDefault="00093FAD" w:rsidP="00CE554D">
      <w:r>
        <w:t xml:space="preserve">We have already discussed </w:t>
      </w:r>
      <w:r w:rsidR="007E65E4">
        <w:t>that students exiting year 12</w:t>
      </w:r>
      <w:r w:rsidR="007D07D4">
        <w:t xml:space="preserve"> are turning away from VET as a preferred d</w:t>
      </w:r>
      <w:r w:rsidR="00D81EF0">
        <w:t>estination.</w:t>
      </w:r>
    </w:p>
    <w:p w14:paraId="1CB7E8D5" w14:textId="7FC7E8F4" w:rsidR="00B86BED" w:rsidRDefault="00D81EF0" w:rsidP="00CE554D">
      <w:r>
        <w:t>Since 2015</w:t>
      </w:r>
      <w:r w:rsidR="00922C00">
        <w:t>,</w:t>
      </w:r>
      <w:r w:rsidR="00B86BED">
        <w:t xml:space="preserve"> </w:t>
      </w:r>
      <w:r>
        <w:t>enrolments across all levels</w:t>
      </w:r>
      <w:r w:rsidR="00093FAD">
        <w:t xml:space="preserve"> have declined, with the largest decline </w:t>
      </w:r>
      <w:r w:rsidR="00B86BED">
        <w:t>in diploma</w:t>
      </w:r>
      <w:r>
        <w:t>s</w:t>
      </w:r>
      <w:r w:rsidR="00B86BED">
        <w:t xml:space="preserve"> and </w:t>
      </w:r>
      <w:r w:rsidR="00421203">
        <w:t xml:space="preserve">Certificate </w:t>
      </w:r>
      <w:r>
        <w:t>IV level</w:t>
      </w:r>
      <w:r w:rsidR="00421203">
        <w:t>.</w:t>
      </w:r>
      <w:r>
        <w:t xml:space="preserve"> </w:t>
      </w:r>
      <w:r w:rsidR="00421203">
        <w:t>Similarly</w:t>
      </w:r>
      <w:r w:rsidR="00D82A32">
        <w:t>,</w:t>
      </w:r>
      <w:r w:rsidR="00421203">
        <w:t xml:space="preserve"> completions</w:t>
      </w:r>
      <w:r w:rsidR="00D82A32">
        <w:t xml:space="preserve"> at all </w:t>
      </w:r>
      <w:r>
        <w:t>levels have</w:t>
      </w:r>
      <w:r w:rsidR="00421203">
        <w:t xml:space="preserve"> </w:t>
      </w:r>
      <w:r w:rsidR="00093FAD">
        <w:t xml:space="preserve">also </w:t>
      </w:r>
      <w:r w:rsidR="00421203">
        <w:t>declined</w:t>
      </w:r>
      <w:r w:rsidR="00093FAD">
        <w:t>.</w:t>
      </w:r>
    </w:p>
    <w:p w14:paraId="566BEC66" w14:textId="05BADC31" w:rsidR="00D81EF0" w:rsidRDefault="004E4EC2" w:rsidP="00CE554D">
      <w:pPr>
        <w:spacing w:after="0"/>
        <w:rPr>
          <w:rFonts w:cstheme="minorHAnsi"/>
          <w:b/>
          <w:color w:val="1F497D" w:themeColor="text2"/>
          <w:sz w:val="24"/>
        </w:rPr>
      </w:pPr>
      <w:r>
        <w:rPr>
          <w:rFonts w:ascii="Calibri" w:hAnsi="Calibri" w:cs="Calibri"/>
          <w:b/>
          <w:color w:val="1F497D" w:themeColor="text2"/>
          <w:sz w:val="24"/>
          <w:szCs w:val="24"/>
        </w:rPr>
        <w:t xml:space="preserve">Table </w:t>
      </w:r>
      <w:r w:rsidR="00193247">
        <w:rPr>
          <w:rFonts w:ascii="Calibri" w:hAnsi="Calibri" w:cs="Calibri"/>
          <w:b/>
          <w:color w:val="1F497D" w:themeColor="text2"/>
          <w:sz w:val="24"/>
          <w:szCs w:val="24"/>
        </w:rPr>
        <w:t>12</w:t>
      </w:r>
      <w:r w:rsidR="00AE4317">
        <w:rPr>
          <w:rFonts w:ascii="Calibri" w:hAnsi="Calibri" w:cs="Calibri"/>
          <w:b/>
          <w:color w:val="1F497D" w:themeColor="text2"/>
          <w:sz w:val="24"/>
          <w:szCs w:val="24"/>
        </w:rPr>
        <w:t xml:space="preserve"> </w:t>
      </w:r>
      <w:r w:rsidR="00AE4317" w:rsidRPr="00AE4317">
        <w:rPr>
          <w:rFonts w:cstheme="minorHAnsi"/>
          <w:b/>
          <w:color w:val="1F497D" w:themeColor="text2"/>
          <w:sz w:val="24"/>
        </w:rPr>
        <w:t>Enrolments in VET 201</w:t>
      </w:r>
      <w:r w:rsidR="00C327A4">
        <w:rPr>
          <w:rFonts w:cstheme="minorHAnsi"/>
          <w:b/>
          <w:color w:val="1F497D" w:themeColor="text2"/>
          <w:sz w:val="24"/>
        </w:rPr>
        <w:t>5</w:t>
      </w:r>
      <w:r w:rsidR="00AE4317" w:rsidRPr="00AE4317">
        <w:rPr>
          <w:rFonts w:cstheme="minorHAnsi"/>
          <w:b/>
          <w:color w:val="1F497D" w:themeColor="text2"/>
          <w:sz w:val="24"/>
        </w:rPr>
        <w:t xml:space="preserve"> </w:t>
      </w:r>
      <w:r w:rsidR="00AE4317">
        <w:rPr>
          <w:rFonts w:cstheme="minorHAnsi"/>
          <w:b/>
          <w:color w:val="1F497D" w:themeColor="text2"/>
          <w:sz w:val="24"/>
        </w:rPr>
        <w:t>–</w:t>
      </w:r>
      <w:r w:rsidR="00AE4317" w:rsidRPr="00AE4317">
        <w:rPr>
          <w:rFonts w:cstheme="minorHAnsi"/>
          <w:b/>
          <w:color w:val="1F497D" w:themeColor="text2"/>
          <w:sz w:val="24"/>
        </w:rPr>
        <w:t xml:space="preserve"> 201</w:t>
      </w:r>
      <w:r w:rsidR="00C327A4">
        <w:rPr>
          <w:rFonts w:cstheme="minorHAnsi"/>
          <w:b/>
          <w:color w:val="1F497D" w:themeColor="text2"/>
          <w:sz w:val="24"/>
        </w:rPr>
        <w:t>8</w:t>
      </w:r>
    </w:p>
    <w:p w14:paraId="0558E7AA" w14:textId="77777777" w:rsidR="00AE4317" w:rsidRPr="00AE4317" w:rsidRDefault="00AE4317" w:rsidP="00D81EF0">
      <w:pPr>
        <w:spacing w:after="0"/>
        <w:rPr>
          <w:rFonts w:ascii="Calibri" w:hAnsi="Calibri" w:cs="Calibri"/>
          <w:b/>
          <w:color w:val="1F497D" w:themeColor="text2"/>
          <w:sz w:val="26"/>
          <w:szCs w:val="24"/>
        </w:rPr>
      </w:pPr>
    </w:p>
    <w:tbl>
      <w:tblPr>
        <w:tblW w:w="6192" w:type="dxa"/>
        <w:tblInd w:w="137"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ayout w:type="fixed"/>
        <w:tblLook w:val="04A0" w:firstRow="1" w:lastRow="0" w:firstColumn="1" w:lastColumn="0" w:noHBand="0" w:noVBand="1"/>
      </w:tblPr>
      <w:tblGrid>
        <w:gridCol w:w="3074"/>
        <w:gridCol w:w="3118"/>
      </w:tblGrid>
      <w:tr w:rsidR="000B0E39" w:rsidRPr="000B0E39" w14:paraId="53AC25CC" w14:textId="77777777" w:rsidTr="00CE554D">
        <w:trPr>
          <w:trHeight w:val="478"/>
        </w:trPr>
        <w:tc>
          <w:tcPr>
            <w:tcW w:w="3074" w:type="dxa"/>
            <w:shd w:val="clear" w:color="auto" w:fill="C6D9F1" w:themeFill="text2" w:themeFillTint="33"/>
            <w:vAlign w:val="center"/>
          </w:tcPr>
          <w:p w14:paraId="3EBC19BC" w14:textId="77777777" w:rsidR="00D81EF0" w:rsidRPr="000B0E39" w:rsidRDefault="00D81EF0" w:rsidP="00675308">
            <w:pPr>
              <w:spacing w:line="240" w:lineRule="auto"/>
              <w:rPr>
                <w:rFonts w:cstheme="minorHAnsi"/>
                <w:b/>
                <w:color w:val="1F497D" w:themeColor="text2"/>
              </w:rPr>
            </w:pPr>
            <w:r w:rsidRPr="000B0E39">
              <w:rPr>
                <w:rFonts w:cstheme="minorHAnsi"/>
                <w:color w:val="1F497D" w:themeColor="text2"/>
              </w:rPr>
              <w:t>Diploma and above</w:t>
            </w:r>
          </w:p>
        </w:tc>
        <w:tc>
          <w:tcPr>
            <w:tcW w:w="3118" w:type="dxa"/>
            <w:shd w:val="clear" w:color="auto" w:fill="C6D9F1" w:themeFill="text2" w:themeFillTint="33"/>
            <w:vAlign w:val="center"/>
          </w:tcPr>
          <w:p w14:paraId="513404E2" w14:textId="77777777" w:rsidR="00D81EF0" w:rsidRPr="000B0E39" w:rsidRDefault="00D81EF0" w:rsidP="00675308">
            <w:pPr>
              <w:spacing w:line="240" w:lineRule="auto"/>
              <w:rPr>
                <w:rFonts w:cstheme="minorHAnsi"/>
                <w:color w:val="1F497D" w:themeColor="text2"/>
              </w:rPr>
            </w:pPr>
            <w:r w:rsidRPr="000B0E39">
              <w:rPr>
                <w:rFonts w:cstheme="minorHAnsi"/>
                <w:color w:val="1F497D" w:themeColor="text2"/>
              </w:rPr>
              <w:t xml:space="preserve">Decreased by </w:t>
            </w:r>
            <w:r w:rsidR="00F568D8">
              <w:rPr>
                <w:rFonts w:cstheme="minorHAnsi"/>
                <w:color w:val="1F497D" w:themeColor="text2"/>
              </w:rPr>
              <w:t>34.4</w:t>
            </w:r>
            <w:r w:rsidRPr="000B0E39">
              <w:rPr>
                <w:rFonts w:cstheme="minorHAnsi"/>
                <w:color w:val="1F497D" w:themeColor="text2"/>
              </w:rPr>
              <w:t>%</w:t>
            </w:r>
          </w:p>
        </w:tc>
      </w:tr>
      <w:tr w:rsidR="000B0E39" w:rsidRPr="000B0E39" w14:paraId="700FAEAD" w14:textId="77777777" w:rsidTr="00CE554D">
        <w:trPr>
          <w:trHeight w:val="478"/>
        </w:trPr>
        <w:tc>
          <w:tcPr>
            <w:tcW w:w="3074" w:type="dxa"/>
            <w:vAlign w:val="center"/>
          </w:tcPr>
          <w:p w14:paraId="0E32D8D5" w14:textId="77777777" w:rsidR="00D81EF0" w:rsidRPr="000B0E39" w:rsidRDefault="00D81EF0" w:rsidP="00675308">
            <w:pPr>
              <w:spacing w:line="240" w:lineRule="auto"/>
              <w:rPr>
                <w:rFonts w:cstheme="minorHAnsi"/>
                <w:b/>
                <w:color w:val="1F497D" w:themeColor="text2"/>
              </w:rPr>
            </w:pPr>
            <w:r w:rsidRPr="000B0E39">
              <w:rPr>
                <w:rFonts w:cstheme="minorHAnsi"/>
                <w:color w:val="1F497D" w:themeColor="text2"/>
              </w:rPr>
              <w:t>Certificate I</w:t>
            </w:r>
          </w:p>
        </w:tc>
        <w:tc>
          <w:tcPr>
            <w:tcW w:w="3118" w:type="dxa"/>
            <w:vAlign w:val="center"/>
          </w:tcPr>
          <w:p w14:paraId="4FB50F10" w14:textId="77777777" w:rsidR="00D81EF0" w:rsidRPr="000B0E39" w:rsidRDefault="00D81EF0" w:rsidP="00675308">
            <w:pPr>
              <w:spacing w:line="240" w:lineRule="auto"/>
              <w:rPr>
                <w:rFonts w:cstheme="minorHAnsi"/>
                <w:color w:val="1F497D" w:themeColor="text2"/>
              </w:rPr>
            </w:pPr>
            <w:r w:rsidRPr="000B0E39">
              <w:rPr>
                <w:rFonts w:cstheme="minorHAnsi"/>
                <w:color w:val="1F497D" w:themeColor="text2"/>
              </w:rPr>
              <w:t xml:space="preserve">Decreased by </w:t>
            </w:r>
            <w:r w:rsidR="00F568D8">
              <w:rPr>
                <w:rFonts w:cstheme="minorHAnsi"/>
                <w:color w:val="1F497D" w:themeColor="text2"/>
              </w:rPr>
              <w:t>2</w:t>
            </w:r>
            <w:r w:rsidRPr="000B0E39">
              <w:rPr>
                <w:rFonts w:cstheme="minorHAnsi"/>
                <w:color w:val="1F497D" w:themeColor="text2"/>
              </w:rPr>
              <w:t>2.</w:t>
            </w:r>
            <w:r w:rsidR="00F568D8">
              <w:rPr>
                <w:rFonts w:cstheme="minorHAnsi"/>
                <w:color w:val="1F497D" w:themeColor="text2"/>
              </w:rPr>
              <w:t>7</w:t>
            </w:r>
            <w:r w:rsidRPr="000B0E39">
              <w:rPr>
                <w:rFonts w:cstheme="minorHAnsi"/>
                <w:color w:val="1F497D" w:themeColor="text2"/>
              </w:rPr>
              <w:t>%</w:t>
            </w:r>
          </w:p>
        </w:tc>
      </w:tr>
      <w:tr w:rsidR="000B0E39" w:rsidRPr="000B0E39" w14:paraId="2EE975FD" w14:textId="77777777" w:rsidTr="00CE554D">
        <w:trPr>
          <w:trHeight w:val="461"/>
        </w:trPr>
        <w:tc>
          <w:tcPr>
            <w:tcW w:w="3074" w:type="dxa"/>
            <w:shd w:val="clear" w:color="auto" w:fill="C6D9F1" w:themeFill="text2" w:themeFillTint="33"/>
            <w:vAlign w:val="center"/>
          </w:tcPr>
          <w:p w14:paraId="24AD2932" w14:textId="77777777" w:rsidR="00D81EF0" w:rsidRPr="000B0E39" w:rsidRDefault="00D81EF0" w:rsidP="00675308">
            <w:pPr>
              <w:spacing w:line="240" w:lineRule="auto"/>
              <w:rPr>
                <w:rFonts w:cstheme="minorHAnsi"/>
                <w:b/>
                <w:color w:val="1F497D" w:themeColor="text2"/>
              </w:rPr>
            </w:pPr>
            <w:r w:rsidRPr="000B0E39">
              <w:rPr>
                <w:rFonts w:cstheme="minorHAnsi"/>
                <w:color w:val="1F497D" w:themeColor="text2"/>
              </w:rPr>
              <w:t>Certificate III</w:t>
            </w:r>
          </w:p>
        </w:tc>
        <w:tc>
          <w:tcPr>
            <w:tcW w:w="3118" w:type="dxa"/>
            <w:shd w:val="clear" w:color="auto" w:fill="C6D9F1" w:themeFill="text2" w:themeFillTint="33"/>
            <w:vAlign w:val="center"/>
          </w:tcPr>
          <w:p w14:paraId="221230DE" w14:textId="77777777" w:rsidR="00D81EF0" w:rsidRPr="000B0E39" w:rsidRDefault="00D81EF0" w:rsidP="00675308">
            <w:pPr>
              <w:spacing w:line="240" w:lineRule="auto"/>
              <w:rPr>
                <w:rFonts w:cstheme="minorHAnsi"/>
                <w:color w:val="1F497D" w:themeColor="text2"/>
              </w:rPr>
            </w:pPr>
            <w:r w:rsidRPr="000B0E39">
              <w:rPr>
                <w:rFonts w:cstheme="minorHAnsi"/>
                <w:color w:val="1F497D" w:themeColor="text2"/>
              </w:rPr>
              <w:t xml:space="preserve">Increased by </w:t>
            </w:r>
            <w:r w:rsidR="00F568D8">
              <w:rPr>
                <w:rFonts w:cstheme="minorHAnsi"/>
                <w:color w:val="1F497D" w:themeColor="text2"/>
              </w:rPr>
              <w:t>5.99</w:t>
            </w:r>
            <w:r w:rsidRPr="000B0E39">
              <w:rPr>
                <w:rFonts w:cstheme="minorHAnsi"/>
                <w:color w:val="1F497D" w:themeColor="text2"/>
              </w:rPr>
              <w:t>%</w:t>
            </w:r>
          </w:p>
        </w:tc>
      </w:tr>
      <w:tr w:rsidR="000B0E39" w:rsidRPr="000B0E39" w14:paraId="4E9B39BD" w14:textId="77777777" w:rsidTr="00CE554D">
        <w:trPr>
          <w:trHeight w:val="159"/>
        </w:trPr>
        <w:tc>
          <w:tcPr>
            <w:tcW w:w="3074" w:type="dxa"/>
            <w:vAlign w:val="center"/>
          </w:tcPr>
          <w:p w14:paraId="4D602D5F" w14:textId="77777777" w:rsidR="00D81EF0" w:rsidRPr="000B0E39" w:rsidRDefault="00D81EF0" w:rsidP="00675308">
            <w:pPr>
              <w:spacing w:line="240" w:lineRule="auto"/>
              <w:rPr>
                <w:rFonts w:cstheme="minorHAnsi"/>
                <w:b/>
                <w:color w:val="1F497D" w:themeColor="text2"/>
              </w:rPr>
            </w:pPr>
            <w:r w:rsidRPr="000B0E39">
              <w:rPr>
                <w:rFonts w:cstheme="minorHAnsi"/>
                <w:color w:val="1F497D" w:themeColor="text2"/>
              </w:rPr>
              <w:t>Certificate IV</w:t>
            </w:r>
          </w:p>
        </w:tc>
        <w:tc>
          <w:tcPr>
            <w:tcW w:w="3118" w:type="dxa"/>
            <w:vAlign w:val="center"/>
          </w:tcPr>
          <w:p w14:paraId="7DB973C5" w14:textId="77777777" w:rsidR="00D81EF0" w:rsidRPr="000B0E39" w:rsidRDefault="00D81EF0" w:rsidP="00675308">
            <w:pPr>
              <w:spacing w:line="240" w:lineRule="auto"/>
              <w:rPr>
                <w:rFonts w:cstheme="minorHAnsi"/>
                <w:color w:val="1F497D" w:themeColor="text2"/>
              </w:rPr>
            </w:pPr>
            <w:r w:rsidRPr="000B0E39">
              <w:rPr>
                <w:rFonts w:cstheme="minorHAnsi"/>
                <w:color w:val="1F497D" w:themeColor="text2"/>
              </w:rPr>
              <w:t xml:space="preserve">Decreased by </w:t>
            </w:r>
            <w:r w:rsidR="00F568D8">
              <w:rPr>
                <w:rFonts w:cstheme="minorHAnsi"/>
                <w:color w:val="1F497D" w:themeColor="text2"/>
              </w:rPr>
              <w:t>18.0</w:t>
            </w:r>
            <w:r w:rsidRPr="000B0E39">
              <w:rPr>
                <w:rFonts w:cstheme="minorHAnsi"/>
                <w:color w:val="1F497D" w:themeColor="text2"/>
              </w:rPr>
              <w:t>%</w:t>
            </w:r>
          </w:p>
        </w:tc>
      </w:tr>
    </w:tbl>
    <w:p w14:paraId="3402D42A" w14:textId="77777777" w:rsidR="00AE4317" w:rsidRDefault="00AE4317" w:rsidP="00D81EF0">
      <w:pPr>
        <w:spacing w:after="0"/>
        <w:ind w:left="612"/>
        <w:rPr>
          <w:rFonts w:asciiTheme="majorHAnsi" w:hAnsiTheme="majorHAnsi"/>
          <w:sz w:val="18"/>
          <w:szCs w:val="18"/>
        </w:rPr>
      </w:pPr>
    </w:p>
    <w:p w14:paraId="6B921431" w14:textId="2232AE3F" w:rsidR="00D81EF0" w:rsidRPr="001C761F" w:rsidRDefault="00D81EF0" w:rsidP="00CE554D">
      <w:pPr>
        <w:spacing w:after="0"/>
        <w:ind w:left="142"/>
        <w:rPr>
          <w:rFonts w:cstheme="minorHAnsi"/>
        </w:rPr>
      </w:pPr>
      <w:r w:rsidRPr="001C761F">
        <w:rPr>
          <w:rFonts w:cstheme="minorHAnsi"/>
          <w:sz w:val="18"/>
          <w:szCs w:val="18"/>
        </w:rPr>
        <w:t xml:space="preserve">Source:  </w:t>
      </w:r>
      <w:r w:rsidRPr="00F568D8">
        <w:rPr>
          <w:rFonts w:cstheme="minorHAnsi"/>
          <w:sz w:val="18"/>
          <w:szCs w:val="18"/>
        </w:rPr>
        <w:t>ncver.edu.au/research-and-statistics/publications/all-publications/total-vet-students-and-courses-</w:t>
      </w:r>
      <w:r w:rsidR="00F568D8" w:rsidRPr="00F568D8">
        <w:rPr>
          <w:rFonts w:cstheme="minorHAnsi"/>
          <w:sz w:val="18"/>
          <w:szCs w:val="18"/>
        </w:rPr>
        <w:t>2</w:t>
      </w:r>
      <w:r w:rsidR="00F568D8">
        <w:rPr>
          <w:rFonts w:cstheme="minorHAnsi"/>
          <w:sz w:val="18"/>
          <w:szCs w:val="18"/>
        </w:rPr>
        <w:t>018</w:t>
      </w:r>
    </w:p>
    <w:p w14:paraId="5E1D79D6" w14:textId="77777777" w:rsidR="00136E37" w:rsidRDefault="00136E37" w:rsidP="00136E37">
      <w:pPr>
        <w:spacing w:after="0"/>
        <w:ind w:left="360"/>
      </w:pPr>
    </w:p>
    <w:p w14:paraId="2BD7DF16" w14:textId="6A35EFF1" w:rsidR="007E65E4" w:rsidRDefault="00D82A32" w:rsidP="00541AE9">
      <w:pPr>
        <w:spacing w:after="0"/>
      </w:pPr>
      <w:r>
        <w:t xml:space="preserve">Certificates </w:t>
      </w:r>
      <w:r w:rsidR="00D81EF0">
        <w:t>I-III</w:t>
      </w:r>
      <w:r w:rsidR="00F26179">
        <w:t>,</w:t>
      </w:r>
      <w:r>
        <w:t xml:space="preserve"> which the </w:t>
      </w:r>
      <w:r w:rsidR="00AE4317">
        <w:t>EU and New Z</w:t>
      </w:r>
      <w:r>
        <w:t>eal</w:t>
      </w:r>
      <w:r w:rsidR="00F622D4">
        <w:t>a</w:t>
      </w:r>
      <w:r>
        <w:t xml:space="preserve">nd </w:t>
      </w:r>
      <w:r w:rsidR="00F26179">
        <w:t xml:space="preserve">classify </w:t>
      </w:r>
      <w:r>
        <w:t>as upper secondary education</w:t>
      </w:r>
      <w:r w:rsidR="00F26179">
        <w:t>,</w:t>
      </w:r>
      <w:r>
        <w:t xml:space="preserve"> </w:t>
      </w:r>
      <w:r w:rsidR="00F622D4">
        <w:t>account for 63</w:t>
      </w:r>
      <w:r w:rsidR="00F26179">
        <w:t xml:space="preserve"> per cent </w:t>
      </w:r>
      <w:r w:rsidR="00F622D4">
        <w:t>of enrolments and 64</w:t>
      </w:r>
      <w:r w:rsidR="00F26179">
        <w:t xml:space="preserve"> per cent </w:t>
      </w:r>
      <w:r w:rsidR="00F622D4">
        <w:t>of completions (</w:t>
      </w:r>
      <w:r w:rsidR="00193247">
        <w:t>NCVER</w:t>
      </w:r>
      <w:r w:rsidR="00AD24BB">
        <w:t xml:space="preserve">, </w:t>
      </w:r>
      <w:r w:rsidR="00F622D4">
        <w:t>2018)</w:t>
      </w:r>
      <w:r w:rsidR="00F568D8">
        <w:t xml:space="preserve">. </w:t>
      </w:r>
      <w:r w:rsidR="00193247">
        <w:t xml:space="preserve">(See attachment B.) </w:t>
      </w:r>
      <w:r w:rsidR="00AD24BB">
        <w:t xml:space="preserve">Strangely, </w:t>
      </w:r>
      <w:r w:rsidR="00F622D4">
        <w:t xml:space="preserve">although </w:t>
      </w:r>
      <w:r w:rsidR="00AE4317">
        <w:t>Victoria has</w:t>
      </w:r>
      <w:r w:rsidR="00F622D4">
        <w:t xml:space="preserve"> destination outcomes for upper secondary academic students</w:t>
      </w:r>
      <w:r w:rsidR="00136E37">
        <w:t>,</w:t>
      </w:r>
      <w:r w:rsidR="00F622D4">
        <w:t xml:space="preserve"> whether completers or </w:t>
      </w:r>
      <w:r w:rsidR="00AE4317">
        <w:t>non-completers,</w:t>
      </w:r>
      <w:r w:rsidR="00F622D4">
        <w:t xml:space="preserve"> there is no such information </w:t>
      </w:r>
      <w:r w:rsidR="00F26179">
        <w:t xml:space="preserve">available </w:t>
      </w:r>
      <w:r w:rsidR="00F622D4">
        <w:t xml:space="preserve">for vocational students. </w:t>
      </w:r>
    </w:p>
    <w:p w14:paraId="13960864" w14:textId="77777777" w:rsidR="00F568D8" w:rsidRDefault="00F568D8" w:rsidP="00541AE9">
      <w:pPr>
        <w:spacing w:after="0"/>
      </w:pPr>
    </w:p>
    <w:p w14:paraId="7DCC9D0C" w14:textId="4BAD49B4" w:rsidR="00F622D4" w:rsidRDefault="00F622D4" w:rsidP="00541AE9">
      <w:r>
        <w:t xml:space="preserve">This lack of data is not surprising because the connection between </w:t>
      </w:r>
      <w:r w:rsidR="00AE4317">
        <w:t>VET</w:t>
      </w:r>
      <w:r>
        <w:t xml:space="preserve"> and upper secondary is unclear and </w:t>
      </w:r>
      <w:r w:rsidR="00AE4317">
        <w:t xml:space="preserve">tenuous. </w:t>
      </w:r>
      <w:r>
        <w:t xml:space="preserve">Many students complete </w:t>
      </w:r>
      <w:r w:rsidR="00AE4317">
        <w:t xml:space="preserve">year </w:t>
      </w:r>
      <w:r>
        <w:t xml:space="preserve">12 and then undertake a Certificate </w:t>
      </w:r>
      <w:r w:rsidR="00AE4317">
        <w:t>II</w:t>
      </w:r>
      <w:r>
        <w:t xml:space="preserve"> in pre-apprenticeship or an apprenticeship/traineeship at the </w:t>
      </w:r>
      <w:r w:rsidR="00AE4317">
        <w:t>C</w:t>
      </w:r>
      <w:r>
        <w:t xml:space="preserve">ertificate </w:t>
      </w:r>
      <w:r w:rsidR="00AE4317">
        <w:t>III</w:t>
      </w:r>
      <w:r>
        <w:t xml:space="preserve"> level</w:t>
      </w:r>
      <w:r w:rsidR="00CC3ED7">
        <w:t>. This means students are going backwards educationally.</w:t>
      </w:r>
    </w:p>
    <w:p w14:paraId="2DB1C275" w14:textId="79B177C6" w:rsidR="00CC3ED7" w:rsidRDefault="00CC3ED7" w:rsidP="00541AE9">
      <w:r>
        <w:t>Of equal concern</w:t>
      </w:r>
      <w:r w:rsidR="004107E9">
        <w:t xml:space="preserve"> </w:t>
      </w:r>
      <w:r>
        <w:t xml:space="preserve">is that </w:t>
      </w:r>
      <w:r w:rsidR="00F26179">
        <w:t xml:space="preserve">significant numbers of students undertake </w:t>
      </w:r>
      <w:r>
        <w:t xml:space="preserve">pre-apprenticeships </w:t>
      </w:r>
      <w:r w:rsidR="00F26179">
        <w:t xml:space="preserve">in the hope of gaining </w:t>
      </w:r>
      <w:r>
        <w:t>an apprenticeship</w:t>
      </w:r>
      <w:r w:rsidR="00AE4317">
        <w:t>.</w:t>
      </w:r>
      <w:r>
        <w:t xml:space="preserve"> </w:t>
      </w:r>
      <w:r w:rsidR="00F26179">
        <w:t>(Again, no data is available on outcomes</w:t>
      </w:r>
      <w:r w:rsidR="004107E9">
        <w:t xml:space="preserve"> of </w:t>
      </w:r>
      <w:r w:rsidR="00037FB2">
        <w:t>pre-apprenticeships</w:t>
      </w:r>
      <w:r w:rsidR="004107E9">
        <w:t>.</w:t>
      </w:r>
      <w:r w:rsidR="00F26179">
        <w:t xml:space="preserve">) Pre-apprenticeship </w:t>
      </w:r>
      <w:r>
        <w:t>courses are highly specific and narrowly focused and a pre-apprentice who is unable to get an apprenticeship suffers significant educational disadvantage.</w:t>
      </w:r>
      <w:r w:rsidR="00F26179">
        <w:t xml:space="preserve"> </w:t>
      </w:r>
    </w:p>
    <w:p w14:paraId="177DC7F7" w14:textId="5BEF7499" w:rsidR="000515AB" w:rsidRDefault="000515AB" w:rsidP="00541AE9">
      <w:r>
        <w:t>Despite a lack of support</w:t>
      </w:r>
      <w:r w:rsidR="00F00F98">
        <w:t xml:space="preserve"> for VET and unstable policy</w:t>
      </w:r>
      <w:r w:rsidR="004107E9">
        <w:t xml:space="preserve"> in </w:t>
      </w:r>
      <w:r w:rsidR="000F0E1E">
        <w:t>Australia</w:t>
      </w:r>
      <w:r w:rsidR="00AE4317">
        <w:t>,</w:t>
      </w:r>
      <w:r>
        <w:t xml:space="preserve"> the OECD comments that young adults with an upper secondary qualification </w:t>
      </w:r>
      <w:r w:rsidR="003C4555">
        <w:t xml:space="preserve">in </w:t>
      </w:r>
      <w:r w:rsidR="00281954">
        <w:t>Australia</w:t>
      </w:r>
      <w:r>
        <w:t xml:space="preserve"> have good labour market prospects</w:t>
      </w:r>
      <w:r w:rsidR="00F26179">
        <w:t>,</w:t>
      </w:r>
      <w:r>
        <w:t xml:space="preserve"> with 79</w:t>
      </w:r>
      <w:r w:rsidR="00F26179">
        <w:t xml:space="preserve"> per cent</w:t>
      </w:r>
      <w:r>
        <w:t xml:space="preserve"> of 25 to 34-year-old adults employed. For those with a vocational qualification at the upper secondary level (</w:t>
      </w:r>
      <w:r w:rsidR="00AE4317">
        <w:t>C</w:t>
      </w:r>
      <w:r>
        <w:t xml:space="preserve">ertificate </w:t>
      </w:r>
      <w:r w:rsidR="00AE4317">
        <w:t>III</w:t>
      </w:r>
      <w:r>
        <w:t>)</w:t>
      </w:r>
      <w:r w:rsidR="00AE4317">
        <w:t>,</w:t>
      </w:r>
      <w:r>
        <w:t xml:space="preserve"> the employment rate is 83</w:t>
      </w:r>
      <w:r w:rsidR="000F0E1E">
        <w:t xml:space="preserve"> per cent</w:t>
      </w:r>
      <w:r>
        <w:t xml:space="preserve"> (OECD average 80%). There is little difference between employment outcomes for those with a vocational upper secondary qualification or a </w:t>
      </w:r>
      <w:r w:rsidR="00AE4317">
        <w:t>post-secondary</w:t>
      </w:r>
      <w:r>
        <w:t xml:space="preserve"> no</w:t>
      </w:r>
      <w:r w:rsidR="00454D74">
        <w:t>n</w:t>
      </w:r>
      <w:r w:rsidR="00BF5736">
        <w:t>-</w:t>
      </w:r>
      <w:r>
        <w:t>tertiary qualification</w:t>
      </w:r>
      <w:r w:rsidR="00C327A4">
        <w:t>.</w:t>
      </w:r>
    </w:p>
    <w:p w14:paraId="4F6D10D1" w14:textId="60F64CDA" w:rsidR="003C4555" w:rsidRDefault="00AE4317" w:rsidP="00CE554D">
      <w:r>
        <w:lastRenderedPageBreak/>
        <w:t>In addition</w:t>
      </w:r>
      <w:r w:rsidR="00AD24BB">
        <w:t>,</w:t>
      </w:r>
      <w:r>
        <w:t xml:space="preserve"> the fastest </w:t>
      </w:r>
      <w:r w:rsidR="003C4555">
        <w:t xml:space="preserve">growing occupational areas in Australia are those that are </w:t>
      </w:r>
      <w:r w:rsidR="00C327A4">
        <w:t>primarily</w:t>
      </w:r>
      <w:r w:rsidR="003C4555">
        <w:t xml:space="preserve"> related to vocational education</w:t>
      </w:r>
      <w:r w:rsidR="001456C8">
        <w:t xml:space="preserve"> </w:t>
      </w:r>
      <w:r w:rsidR="00260D79">
        <w:t>(</w:t>
      </w:r>
      <w:r w:rsidR="007A73AD">
        <w:t>Table 1</w:t>
      </w:r>
      <w:r w:rsidR="00E233EF">
        <w:t>1</w:t>
      </w:r>
      <w:r w:rsidR="00C327A4">
        <w:t>)</w:t>
      </w:r>
      <w:r w:rsidR="007A73AD">
        <w:t>.</w:t>
      </w:r>
      <w:r w:rsidR="00C327A4">
        <w:t xml:space="preserve"> </w:t>
      </w:r>
      <w:r w:rsidR="005B12E1">
        <w:t xml:space="preserve">As indicated </w:t>
      </w:r>
      <w:r w:rsidR="00C327A4">
        <w:t>earlier</w:t>
      </w:r>
      <w:r w:rsidR="00AD24BB">
        <w:t>,</w:t>
      </w:r>
      <w:r w:rsidR="00D81EF0">
        <w:t xml:space="preserve"> there</w:t>
      </w:r>
      <w:r w:rsidR="003C4555">
        <w:t xml:space="preserve"> is as much demand for intermediate workers as there is for graduates.</w:t>
      </w:r>
    </w:p>
    <w:p w14:paraId="262B03B6" w14:textId="705C318D" w:rsidR="001456C8" w:rsidRDefault="003C4555" w:rsidP="008C6857">
      <w:pPr>
        <w:spacing w:after="0"/>
      </w:pPr>
      <w:r>
        <w:t>Despite these positive outcomes and potential opportunities</w:t>
      </w:r>
      <w:r w:rsidR="001456C8">
        <w:t>,</w:t>
      </w:r>
      <w:r w:rsidR="002E5F23">
        <w:t xml:space="preserve"> </w:t>
      </w:r>
      <w:r w:rsidR="005B12E1">
        <w:t xml:space="preserve">participation in </w:t>
      </w:r>
      <w:r w:rsidR="00BF4396">
        <w:t>the vocational</w:t>
      </w:r>
      <w:r>
        <w:t xml:space="preserve"> education system is declining significantly </w:t>
      </w:r>
      <w:r w:rsidR="00C327A4">
        <w:t>a</w:t>
      </w:r>
      <w:r w:rsidR="007A73AD">
        <w:t xml:space="preserve">nd </w:t>
      </w:r>
      <w:r w:rsidR="000F0E1E">
        <w:t xml:space="preserve">suffers from </w:t>
      </w:r>
      <w:r w:rsidR="007A73AD">
        <w:t>a tarnished reputation (Table 1</w:t>
      </w:r>
      <w:r w:rsidR="00E233EF">
        <w:t>2</w:t>
      </w:r>
      <w:r w:rsidR="00C327A4">
        <w:t>)</w:t>
      </w:r>
      <w:r w:rsidR="007A73AD">
        <w:t>.</w:t>
      </w:r>
    </w:p>
    <w:p w14:paraId="39DA7BEC" w14:textId="77777777" w:rsidR="003B3F3C" w:rsidRPr="003B3F3C" w:rsidRDefault="003B3F3C" w:rsidP="008C6857">
      <w:pPr>
        <w:spacing w:after="0"/>
      </w:pPr>
    </w:p>
    <w:p w14:paraId="0DD0E2D5" w14:textId="77777777" w:rsidR="00087B49" w:rsidRDefault="00087B49" w:rsidP="003B3F3C">
      <w:pPr>
        <w:pStyle w:val="Heading2"/>
        <w:spacing w:before="0"/>
        <w:rPr>
          <w:rFonts w:asciiTheme="minorHAnsi" w:hAnsiTheme="minorHAnsi" w:cstheme="minorHAnsi"/>
          <w:b/>
          <w:sz w:val="28"/>
          <w:szCs w:val="28"/>
        </w:rPr>
      </w:pPr>
      <w:bookmarkStart w:id="6" w:name="_Toc43128840"/>
      <w:r w:rsidRPr="003B3F3C">
        <w:rPr>
          <w:rFonts w:asciiTheme="minorHAnsi" w:hAnsiTheme="minorHAnsi" w:cstheme="minorHAnsi"/>
          <w:b/>
          <w:sz w:val="28"/>
          <w:szCs w:val="28"/>
        </w:rPr>
        <w:t>Post-secondary education, productivity and economic growth</w:t>
      </w:r>
      <w:bookmarkEnd w:id="6"/>
    </w:p>
    <w:p w14:paraId="219AAD8B" w14:textId="77777777" w:rsidR="003B3F3C" w:rsidRPr="003B3F3C" w:rsidRDefault="003B3F3C" w:rsidP="003B3F3C">
      <w:pPr>
        <w:spacing w:after="0"/>
      </w:pPr>
    </w:p>
    <w:p w14:paraId="46006EC2" w14:textId="3AB6490E" w:rsidR="00087B49" w:rsidRDefault="00037FB2" w:rsidP="003B3F3C">
      <w:pPr>
        <w:spacing w:after="0"/>
      </w:pPr>
      <w:r>
        <w:t>It is apparent that p</w:t>
      </w:r>
      <w:r w:rsidR="00D246A0">
        <w:t>ost-</w:t>
      </w:r>
      <w:r w:rsidR="00087B49">
        <w:t>secondary education</w:t>
      </w:r>
      <w:r w:rsidR="00AD24BB">
        <w:t>,</w:t>
      </w:r>
      <w:r w:rsidR="00087B49">
        <w:t xml:space="preserve"> on its</w:t>
      </w:r>
      <w:r w:rsidR="00D246A0">
        <w:t xml:space="preserve"> own</w:t>
      </w:r>
      <w:r w:rsidR="00AD24BB">
        <w:t>,</w:t>
      </w:r>
      <w:r w:rsidR="00D246A0">
        <w:t xml:space="preserve"> cannot boost productivity </w:t>
      </w:r>
      <w:r w:rsidR="00087B49">
        <w:t>or economic growth. The strategy that Australi</w:t>
      </w:r>
      <w:r w:rsidR="001E4F5C">
        <w:t>a has adopted is to focus on a u</w:t>
      </w:r>
      <w:r w:rsidR="00087B49">
        <w:t>niversity</w:t>
      </w:r>
      <w:r w:rsidR="00F26179">
        <w:t>-</w:t>
      </w:r>
      <w:r w:rsidR="00087B49">
        <w:t>led post</w:t>
      </w:r>
      <w:r w:rsidR="001E4F5C">
        <w:t>-</w:t>
      </w:r>
      <w:r w:rsidR="00087B49">
        <w:t>secondary education system. This strategy was based upon a view that more graduates in the workfo</w:t>
      </w:r>
      <w:r w:rsidR="00AD24BB">
        <w:t>rce would increase productivity;</w:t>
      </w:r>
      <w:r w:rsidR="00087B49">
        <w:t xml:space="preserve"> that is</w:t>
      </w:r>
      <w:r w:rsidR="001E4F5C">
        <w:t>,</w:t>
      </w:r>
      <w:r w:rsidR="00087B49">
        <w:t xml:space="preserve"> </w:t>
      </w:r>
      <w:r w:rsidR="00D246A0">
        <w:t>highly educated graduates would</w:t>
      </w:r>
      <w:r w:rsidR="00087B49">
        <w:t xml:space="preserve"> create good jobs as supply</w:t>
      </w:r>
      <w:r w:rsidR="00085D98">
        <w:t xml:space="preserve"> creates its own demand.</w:t>
      </w:r>
    </w:p>
    <w:p w14:paraId="30B18616" w14:textId="67EA42E0" w:rsidR="00F26179" w:rsidRDefault="00087B49" w:rsidP="00CE554D">
      <w:r>
        <w:t xml:space="preserve">Higher education graduates were needed </w:t>
      </w:r>
      <w:r w:rsidR="00F26179">
        <w:t>b</w:t>
      </w:r>
      <w:r>
        <w:t xml:space="preserve">ecause </w:t>
      </w:r>
      <w:r w:rsidR="00F26179">
        <w:t xml:space="preserve">the Australian economy was </w:t>
      </w:r>
      <w:r>
        <w:t xml:space="preserve">transitioning to </w:t>
      </w:r>
      <w:r w:rsidR="00F26179">
        <w:t xml:space="preserve">one </w:t>
      </w:r>
      <w:r>
        <w:t>with</w:t>
      </w:r>
      <w:r w:rsidR="000F0E1E">
        <w:t xml:space="preserve"> a need for</w:t>
      </w:r>
      <w:r>
        <w:t xml:space="preserve"> high skills accompanied by technological change t</w:t>
      </w:r>
      <w:r w:rsidR="00D246A0">
        <w:t xml:space="preserve">hat would replace workers. </w:t>
      </w:r>
    </w:p>
    <w:p w14:paraId="0D1BA143" w14:textId="538E8AED" w:rsidR="00087B49" w:rsidRDefault="00D246A0" w:rsidP="00CE554D">
      <w:r>
        <w:t xml:space="preserve">The </w:t>
      </w:r>
      <w:r w:rsidR="00087B49">
        <w:t>evidence to support this assumption is thin.</w:t>
      </w:r>
      <w:r w:rsidR="00F26179">
        <w:t xml:space="preserve"> Moreover, the </w:t>
      </w:r>
      <w:r w:rsidR="00087B49">
        <w:t>weakness of this model is that</w:t>
      </w:r>
      <w:r w:rsidR="00F00F98">
        <w:t xml:space="preserve"> there is no clear industry strategy</w:t>
      </w:r>
      <w:r w:rsidR="00087B49">
        <w:t xml:space="preserve"> </w:t>
      </w:r>
      <w:r w:rsidR="00F00F98">
        <w:t>integrated with the education system</w:t>
      </w:r>
      <w:r w:rsidR="00F26179">
        <w:t xml:space="preserve">. </w:t>
      </w:r>
      <w:r w:rsidR="001E4F5C">
        <w:t>Australia’s u</w:t>
      </w:r>
      <w:r w:rsidR="00087B49">
        <w:t>niversity led post</w:t>
      </w:r>
      <w:r w:rsidR="001E4F5C">
        <w:t>-</w:t>
      </w:r>
      <w:r w:rsidR="00087B49">
        <w:t xml:space="preserve">secondary education system is </w:t>
      </w:r>
      <w:r w:rsidR="00F26179">
        <w:t xml:space="preserve">also </w:t>
      </w:r>
      <w:r w:rsidR="00087B49">
        <w:t>unaccountable in terms of its links with industry.</w:t>
      </w:r>
    </w:p>
    <w:p w14:paraId="78064DC5" w14:textId="2D758D98" w:rsidR="00087B49" w:rsidRDefault="00087B49" w:rsidP="00CE554D">
      <w:r>
        <w:t>In addition</w:t>
      </w:r>
      <w:r w:rsidR="001E4F5C">
        <w:t>,</w:t>
      </w:r>
      <w:r>
        <w:t xml:space="preserve"> the industrial strate</w:t>
      </w:r>
      <w:r w:rsidR="001E4F5C">
        <w:t>gy of a high skills, technology-</w:t>
      </w:r>
      <w:r>
        <w:t xml:space="preserve">driven economy and the need to produce skills for the future has </w:t>
      </w:r>
      <w:r w:rsidR="00F26179">
        <w:t xml:space="preserve">been supported </w:t>
      </w:r>
      <w:r w:rsidR="00F00F98">
        <w:t xml:space="preserve">by a series of vague statements rather </w:t>
      </w:r>
      <w:r w:rsidR="00F26179">
        <w:t xml:space="preserve">than </w:t>
      </w:r>
      <w:r w:rsidR="00F00F98">
        <w:t xml:space="preserve">a </w:t>
      </w:r>
      <w:r w:rsidR="00F26179">
        <w:t xml:space="preserve">serious </w:t>
      </w:r>
      <w:r w:rsidR="00F00F98">
        <w:t xml:space="preserve">plan. </w:t>
      </w:r>
      <w:r w:rsidR="00F26179">
        <w:t xml:space="preserve">Hope is not a good foundation upon which to determine skills formation. </w:t>
      </w:r>
      <w:r w:rsidR="00F00F98">
        <w:t>N</w:t>
      </w:r>
      <w:r>
        <w:t>either industry nor government ha</w:t>
      </w:r>
      <w:r w:rsidR="00F26179">
        <w:t>s</w:t>
      </w:r>
      <w:r>
        <w:t xml:space="preserve"> ensured </w:t>
      </w:r>
      <w:r w:rsidR="00F26179">
        <w:t xml:space="preserve">the development of </w:t>
      </w:r>
      <w:r>
        <w:t>a high skills future</w:t>
      </w:r>
      <w:r w:rsidR="00F26179">
        <w:t>.</w:t>
      </w:r>
      <w:r>
        <w:t xml:space="preserve"> </w:t>
      </w:r>
    </w:p>
    <w:p w14:paraId="24E274E1" w14:textId="55E2CB0E" w:rsidR="00087B49" w:rsidRDefault="001E4F5C" w:rsidP="00CE554D">
      <w:r>
        <w:t>Disappointingly</w:t>
      </w:r>
      <w:r w:rsidR="00AD24BB">
        <w:t>,</w:t>
      </w:r>
      <w:r>
        <w:t xml:space="preserve"> equity, </w:t>
      </w:r>
      <w:r w:rsidR="00F26179">
        <w:t xml:space="preserve">which is </w:t>
      </w:r>
      <w:r w:rsidR="00087B49">
        <w:t xml:space="preserve">an important component underpinning </w:t>
      </w:r>
      <w:r>
        <w:t xml:space="preserve">the uncapped university system, </w:t>
      </w:r>
      <w:r w:rsidR="00087B49">
        <w:t xml:space="preserve">has not translated into a more diverse student population. Universities are uniformly the same in terms of courses </w:t>
      </w:r>
      <w:r w:rsidR="00F26179">
        <w:t xml:space="preserve">offered </w:t>
      </w:r>
      <w:r w:rsidR="00087B49">
        <w:t xml:space="preserve">and </w:t>
      </w:r>
      <w:r w:rsidR="00F26179">
        <w:t xml:space="preserve">mix of </w:t>
      </w:r>
      <w:r w:rsidR="00087B49">
        <w:t>student</w:t>
      </w:r>
      <w:r w:rsidR="00F26179">
        <w:t>s.</w:t>
      </w:r>
      <w:r w:rsidR="00087B49">
        <w:t xml:space="preserve"> </w:t>
      </w:r>
      <w:r w:rsidR="008E67A4">
        <w:t>Because t</w:t>
      </w:r>
      <w:r w:rsidR="00087B49">
        <w:t xml:space="preserve">he </w:t>
      </w:r>
      <w:r>
        <w:t>G</w:t>
      </w:r>
      <w:r w:rsidR="00087B49">
        <w:t xml:space="preserve">roup of </w:t>
      </w:r>
      <w:r>
        <w:t>Eight (Go8)</w:t>
      </w:r>
      <w:r w:rsidR="00087B49">
        <w:t xml:space="preserve"> ha</w:t>
      </w:r>
      <w:r w:rsidR="00F26179">
        <w:t xml:space="preserve">s </w:t>
      </w:r>
      <w:r w:rsidR="00087B49">
        <w:t xml:space="preserve">not enhanced equity targets, </w:t>
      </w:r>
      <w:r w:rsidR="008E67A4">
        <w:t xml:space="preserve">this </w:t>
      </w:r>
      <w:r w:rsidR="00087B49">
        <w:t>means that blue-chip jobs go predominantly to the w</w:t>
      </w:r>
      <w:r>
        <w:t>ell</w:t>
      </w:r>
      <w:r w:rsidR="008E67A4">
        <w:t>-</w:t>
      </w:r>
      <w:r>
        <w:t>off and advantaged classes.</w:t>
      </w:r>
    </w:p>
    <w:p w14:paraId="305064A6" w14:textId="7E0A0548" w:rsidR="00842B48" w:rsidRDefault="00087B49" w:rsidP="00CE554D">
      <w:r>
        <w:t>Indirectly</w:t>
      </w:r>
      <w:r w:rsidR="001E4F5C">
        <w:t>,</w:t>
      </w:r>
      <w:r>
        <w:t xml:space="preserve"> the status and standing of blue-chip universities and the absurd focus on research underpinning undergraduate curriculum in all universities has led to uniformity. </w:t>
      </w:r>
      <w:r w:rsidR="00842B48">
        <w:t xml:space="preserve">This is apparent not </w:t>
      </w:r>
      <w:r>
        <w:t xml:space="preserve">only in student type but also in </w:t>
      </w:r>
      <w:r w:rsidR="008E67A4">
        <w:t xml:space="preserve">the </w:t>
      </w:r>
      <w:r>
        <w:t>curriculum</w:t>
      </w:r>
      <w:r w:rsidR="008E67A4">
        <w:t xml:space="preserve"> on offer</w:t>
      </w:r>
      <w:r>
        <w:t xml:space="preserve">. Applied degrees, with a focus </w:t>
      </w:r>
      <w:r w:rsidR="00842B48">
        <w:t xml:space="preserve">on </w:t>
      </w:r>
      <w:r>
        <w:t>industry and on non-traditional students, especially disadvantaged and adult students</w:t>
      </w:r>
      <w:r w:rsidR="001E4F5C">
        <w:t>,</w:t>
      </w:r>
      <w:r>
        <w:t xml:space="preserve"> </w:t>
      </w:r>
      <w:r w:rsidR="00842B48">
        <w:t xml:space="preserve">are </w:t>
      </w:r>
      <w:r w:rsidR="008E67A4">
        <w:t xml:space="preserve">simply </w:t>
      </w:r>
      <w:r>
        <w:t xml:space="preserve">not part of </w:t>
      </w:r>
      <w:r w:rsidR="001E4F5C">
        <w:t>Australia’s</w:t>
      </w:r>
      <w:r>
        <w:t xml:space="preserve"> university landscape.</w:t>
      </w:r>
      <w:r w:rsidR="005E6F63">
        <w:t xml:space="preserve"> </w:t>
      </w:r>
    </w:p>
    <w:p w14:paraId="1EAAAE63" w14:textId="7DEE487E" w:rsidR="00087B49" w:rsidRDefault="00842B48" w:rsidP="00CE554D">
      <w:r>
        <w:t xml:space="preserve">Universities in the main </w:t>
      </w:r>
      <w:r w:rsidR="00087B49">
        <w:t>offer generalist degrees in a range o</w:t>
      </w:r>
      <w:r w:rsidR="005E6F63">
        <w:t>f disciplines</w:t>
      </w:r>
      <w:r w:rsidR="008E67A4">
        <w:t>,</w:t>
      </w:r>
      <w:r w:rsidR="005E6F63">
        <w:t xml:space="preserve"> hoping to become </w:t>
      </w:r>
      <w:r w:rsidR="00087B49">
        <w:t xml:space="preserve">world-class (like the </w:t>
      </w:r>
      <w:r w:rsidR="005E6F63">
        <w:t xml:space="preserve">Go8) not by teaching effort </w:t>
      </w:r>
      <w:r w:rsidR="00087B49">
        <w:t xml:space="preserve">or impact on productivity or social </w:t>
      </w:r>
      <w:r w:rsidR="00085D98">
        <w:t>mobility,</w:t>
      </w:r>
      <w:r w:rsidR="00087B49">
        <w:t xml:space="preserve"> but in regard to their research rankings. </w:t>
      </w:r>
      <w:r>
        <w:t xml:space="preserve">Such </w:t>
      </w:r>
      <w:r w:rsidR="00087B49">
        <w:t xml:space="preserve">rankings </w:t>
      </w:r>
      <w:r>
        <w:t>are</w:t>
      </w:r>
      <w:r w:rsidR="00087B49">
        <w:t xml:space="preserve"> a construct of universities. </w:t>
      </w:r>
      <w:r w:rsidR="00085D98">
        <w:t>Th</w:t>
      </w:r>
      <w:r w:rsidR="008E67A4">
        <w:t>is</w:t>
      </w:r>
      <w:r>
        <w:t xml:space="preserve"> </w:t>
      </w:r>
      <w:r w:rsidR="00085D98">
        <w:t xml:space="preserve">focus </w:t>
      </w:r>
      <w:r>
        <w:t xml:space="preserve">on rankings, </w:t>
      </w:r>
      <w:r w:rsidR="00085D98">
        <w:t>as</w:t>
      </w:r>
      <w:r w:rsidR="00087B49">
        <w:t xml:space="preserve"> much as a lack of industry policy</w:t>
      </w:r>
      <w:r>
        <w:t>,</w:t>
      </w:r>
      <w:r w:rsidR="00087B49">
        <w:t xml:space="preserve"> has contributed to a shortfall in intermediate skills in the economy.</w:t>
      </w:r>
    </w:p>
    <w:p w14:paraId="14F0CCDB" w14:textId="07BEF20C" w:rsidR="00087B49" w:rsidRDefault="00087B49" w:rsidP="00CE554D">
      <w:r>
        <w:t xml:space="preserve">It is interesting to note that </w:t>
      </w:r>
      <w:r w:rsidR="00842B48">
        <w:t xml:space="preserve">the </w:t>
      </w:r>
      <w:r w:rsidR="00085D98">
        <w:t>highly</w:t>
      </w:r>
      <w:r>
        <w:t xml:space="preserve"> productive and socially cohesive</w:t>
      </w:r>
      <w:r w:rsidR="00842B48">
        <w:t xml:space="preserve"> Nordic countries</w:t>
      </w:r>
      <w:r>
        <w:t xml:space="preserve"> have no universities in the wor</w:t>
      </w:r>
      <w:r w:rsidR="008B2102">
        <w:t>ld rankings</w:t>
      </w:r>
      <w:r w:rsidR="00842B48">
        <w:t xml:space="preserve">. They also offer </w:t>
      </w:r>
      <w:r w:rsidR="008B2102">
        <w:t>a diversified</w:t>
      </w:r>
      <w:r>
        <w:t xml:space="preserve"> syst</w:t>
      </w:r>
      <w:r w:rsidR="008B2102">
        <w:t xml:space="preserve">em </w:t>
      </w:r>
      <w:r w:rsidR="00842B48">
        <w:t xml:space="preserve">- </w:t>
      </w:r>
      <w:r w:rsidR="008B2102">
        <w:t>academically-</w:t>
      </w:r>
      <w:r>
        <w:t xml:space="preserve">oriented </w:t>
      </w:r>
      <w:r w:rsidR="00842B48">
        <w:t xml:space="preserve">universities </w:t>
      </w:r>
      <w:r>
        <w:t>and others that have a teaching and applied orientation.</w:t>
      </w:r>
    </w:p>
    <w:p w14:paraId="74EFAC92" w14:textId="01EE9F45" w:rsidR="00087B49" w:rsidRPr="003B3F3C" w:rsidRDefault="00087B49" w:rsidP="00872129">
      <w:pPr>
        <w:pStyle w:val="Heading2"/>
        <w:spacing w:before="0"/>
        <w:rPr>
          <w:rFonts w:ascii="Calibri" w:hAnsi="Calibri" w:cs="Calibri"/>
          <w:b/>
          <w:color w:val="1F497D" w:themeColor="text2"/>
          <w:sz w:val="28"/>
          <w:szCs w:val="28"/>
        </w:rPr>
      </w:pPr>
      <w:bookmarkStart w:id="7" w:name="_Toc43128841"/>
      <w:r w:rsidRPr="003B3F3C">
        <w:rPr>
          <w:rFonts w:ascii="Calibri" w:hAnsi="Calibri" w:cs="Calibri"/>
          <w:b/>
          <w:color w:val="1F497D" w:themeColor="text2"/>
          <w:sz w:val="28"/>
          <w:szCs w:val="28"/>
        </w:rPr>
        <w:lastRenderedPageBreak/>
        <w:t>T</w:t>
      </w:r>
      <w:r w:rsidR="00037FB2">
        <w:rPr>
          <w:rFonts w:ascii="Calibri" w:hAnsi="Calibri" w:cs="Calibri"/>
          <w:b/>
          <w:color w:val="1F497D" w:themeColor="text2"/>
          <w:sz w:val="28"/>
          <w:szCs w:val="28"/>
        </w:rPr>
        <w:t>ransitioning Victoria’s skill base</w:t>
      </w:r>
      <w:bookmarkEnd w:id="7"/>
    </w:p>
    <w:p w14:paraId="29BC5407" w14:textId="77777777" w:rsidR="003B3F3C" w:rsidRPr="00872129" w:rsidRDefault="003B3F3C" w:rsidP="00872129">
      <w:pPr>
        <w:spacing w:after="0"/>
        <w:rPr>
          <w:b/>
          <w:color w:val="1F497D" w:themeColor="text2"/>
        </w:rPr>
      </w:pPr>
    </w:p>
    <w:p w14:paraId="38F0551A" w14:textId="39128F81" w:rsidR="00087B49" w:rsidRDefault="00037FB2" w:rsidP="00CE554D">
      <w:r>
        <w:t>So far</w:t>
      </w:r>
      <w:r w:rsidR="00087B49">
        <w:t xml:space="preserve"> this paper</w:t>
      </w:r>
      <w:r>
        <w:t xml:space="preserve"> has</w:t>
      </w:r>
      <w:r w:rsidR="00087B49">
        <w:t xml:space="preserve"> identified that: </w:t>
      </w:r>
    </w:p>
    <w:p w14:paraId="76FDA800" w14:textId="09BD7EB5" w:rsidR="00087B49" w:rsidRDefault="00087B49" w:rsidP="00CE554D">
      <w:pPr>
        <w:pStyle w:val="ListParagraph"/>
        <w:numPr>
          <w:ilvl w:val="0"/>
          <w:numId w:val="7"/>
        </w:numPr>
        <w:ind w:left="720"/>
      </w:pPr>
      <w:r>
        <w:t xml:space="preserve">there was as much demand for intermediate qualifications as there </w:t>
      </w:r>
      <w:r w:rsidR="00FF49BA">
        <w:t xml:space="preserve">is </w:t>
      </w:r>
      <w:r>
        <w:t xml:space="preserve">for undergraduate skills but </w:t>
      </w:r>
      <w:r w:rsidR="00FF49BA">
        <w:t xml:space="preserve">there is </w:t>
      </w:r>
      <w:r>
        <w:t xml:space="preserve">no demand </w:t>
      </w:r>
      <w:r w:rsidR="00FF49BA">
        <w:t xml:space="preserve">for </w:t>
      </w:r>
      <w:r>
        <w:t>qualifications that</w:t>
      </w:r>
      <w:r w:rsidR="005A43F6">
        <w:t xml:space="preserve"> lead to low</w:t>
      </w:r>
      <w:r w:rsidR="008E67A4">
        <w:t>-</w:t>
      </w:r>
      <w:r w:rsidR="005A43F6">
        <w:t>skilled employment;</w:t>
      </w:r>
      <w:r>
        <w:t xml:space="preserve"> </w:t>
      </w:r>
      <w:r w:rsidR="005A43F6">
        <w:br/>
      </w:r>
    </w:p>
    <w:p w14:paraId="7C22F4DE" w14:textId="6FC71CF0" w:rsidR="00087B49" w:rsidRDefault="005A43F6" w:rsidP="00CE554D">
      <w:pPr>
        <w:pStyle w:val="ListParagraph"/>
        <w:numPr>
          <w:ilvl w:val="0"/>
          <w:numId w:val="7"/>
        </w:numPr>
        <w:ind w:left="720"/>
      </w:pPr>
      <w:r>
        <w:t>y</w:t>
      </w:r>
      <w:r w:rsidR="00087B49">
        <w:t xml:space="preserve">oung people generally face a less certain future than their predecessors </w:t>
      </w:r>
      <w:r>
        <w:t xml:space="preserve">and that </w:t>
      </w:r>
      <w:r w:rsidR="00FF49BA">
        <w:t xml:space="preserve">employment opportunities </w:t>
      </w:r>
      <w:r>
        <w:t>for low-</w:t>
      </w:r>
      <w:r w:rsidR="00087B49">
        <w:t xml:space="preserve">skilled workers </w:t>
      </w:r>
      <w:r w:rsidR="00FF49BA">
        <w:t xml:space="preserve">are </w:t>
      </w:r>
      <w:r w:rsidR="00087B49">
        <w:t>increasingly marginal</w:t>
      </w:r>
      <w:r>
        <w:t>;</w:t>
      </w:r>
      <w:r>
        <w:br/>
      </w:r>
    </w:p>
    <w:p w14:paraId="6418E600" w14:textId="10BE50E2" w:rsidR="00087B49" w:rsidRDefault="00087B49" w:rsidP="00CE554D">
      <w:pPr>
        <w:pStyle w:val="ListParagraph"/>
        <w:numPr>
          <w:ilvl w:val="0"/>
          <w:numId w:val="7"/>
        </w:numPr>
        <w:ind w:left="720"/>
      </w:pPr>
      <w:r>
        <w:t>there is significant growth in</w:t>
      </w:r>
      <w:r w:rsidR="005A43F6">
        <w:t xml:space="preserve"> areas that </w:t>
      </w:r>
      <w:r w:rsidR="00FF49BA">
        <w:t xml:space="preserve">are government funded and that </w:t>
      </w:r>
      <w:r w:rsidR="005A43F6">
        <w:t>have been primarily</w:t>
      </w:r>
      <w:r>
        <w:t xml:space="preserve"> the domain of vocational education training</w:t>
      </w:r>
      <w:r w:rsidR="00FF49BA">
        <w:t>.</w:t>
      </w:r>
    </w:p>
    <w:p w14:paraId="2A3C89DC" w14:textId="6FC17E3C" w:rsidR="00087B49" w:rsidRDefault="00AD24BB" w:rsidP="00CE554D">
      <w:r>
        <w:t>This</w:t>
      </w:r>
      <w:r w:rsidR="00087B49">
        <w:t xml:space="preserve"> discussion paper identifies </w:t>
      </w:r>
      <w:r w:rsidR="005A43F6">
        <w:t xml:space="preserve">that </w:t>
      </w:r>
      <w:r w:rsidR="00087B49">
        <w:t>a key priority for Australia and Victo</w:t>
      </w:r>
      <w:r w:rsidR="005A43F6">
        <w:t xml:space="preserve">ria </w:t>
      </w:r>
      <w:r w:rsidR="00FF49BA">
        <w:t xml:space="preserve">must </w:t>
      </w:r>
      <w:r w:rsidR="005A43F6">
        <w:t xml:space="preserve">be to reduce </w:t>
      </w:r>
      <w:r w:rsidR="008E67A4">
        <w:t xml:space="preserve">the </w:t>
      </w:r>
      <w:r w:rsidR="002E7915">
        <w:t xml:space="preserve">numbers of </w:t>
      </w:r>
      <w:r w:rsidR="005A43F6">
        <w:t>low-</w:t>
      </w:r>
      <w:r w:rsidR="00087B49">
        <w:t xml:space="preserve">skilled </w:t>
      </w:r>
      <w:r w:rsidR="008E67A4">
        <w:t>people</w:t>
      </w:r>
      <w:r w:rsidR="002E7915">
        <w:t>. It can do this</w:t>
      </w:r>
      <w:r w:rsidR="00087B49">
        <w:t xml:space="preserve"> by facilitating a transition into intermediate employment and minimising the prop</w:t>
      </w:r>
      <w:r w:rsidR="005A43F6">
        <w:t>ortion of new entrants into low-</w:t>
      </w:r>
      <w:r w:rsidR="00087B49">
        <w:t xml:space="preserve">skilled jobs. </w:t>
      </w:r>
      <w:r w:rsidR="00037FB2">
        <w:t xml:space="preserve">It is a socially responsible priority. </w:t>
      </w:r>
      <w:r w:rsidR="00087B49">
        <w:t xml:space="preserve">A difficulty </w:t>
      </w:r>
      <w:r w:rsidR="002E7915">
        <w:t xml:space="preserve">with this second point </w:t>
      </w:r>
      <w:r w:rsidR="00087B49">
        <w:t>is that</w:t>
      </w:r>
      <w:r w:rsidR="005A43F6">
        <w:t xml:space="preserve"> entry-level jobs are often low-</w:t>
      </w:r>
      <w:r w:rsidR="00087B49">
        <w:t xml:space="preserve">skilled. This can trap people forever </w:t>
      </w:r>
      <w:r w:rsidR="008E67A4">
        <w:t>at</w:t>
      </w:r>
      <w:r w:rsidR="00087B49">
        <w:t xml:space="preserve"> this </w:t>
      </w:r>
      <w:r w:rsidR="002E7915">
        <w:t xml:space="preserve">stage </w:t>
      </w:r>
      <w:r w:rsidR="00087B49">
        <w:t>because retraining</w:t>
      </w:r>
      <w:r w:rsidR="002E7915">
        <w:t xml:space="preserve"> opportunities are rarely offered to </w:t>
      </w:r>
      <w:r w:rsidR="005A43F6">
        <w:t>the low-</w:t>
      </w:r>
      <w:r w:rsidR="00087B49">
        <w:t xml:space="preserve">skilled or unemployed. </w:t>
      </w:r>
      <w:r w:rsidR="00037FB2">
        <w:t>In addition Australia has a significant under-employment issue.</w:t>
      </w:r>
    </w:p>
    <w:p w14:paraId="6F817A10" w14:textId="77777777" w:rsidR="00087B49" w:rsidRDefault="00087B49" w:rsidP="00CE554D">
      <w:r>
        <w:t xml:space="preserve">What is less clear is the optimal split between intermediate and high skills. It is interesting to note that Germany and the Nordic countries </w:t>
      </w:r>
      <w:r w:rsidR="005A43F6">
        <w:t xml:space="preserve">that </w:t>
      </w:r>
      <w:r>
        <w:t xml:space="preserve">have highly successful economic strategies have </w:t>
      </w:r>
      <w:r w:rsidR="005A43F6">
        <w:t>weighted their</w:t>
      </w:r>
      <w:r>
        <w:t xml:space="preserve"> skill mix towards the intermediate rather than the higher level. Equally</w:t>
      </w:r>
      <w:r w:rsidR="00AD24BB">
        <w:t>,</w:t>
      </w:r>
      <w:r>
        <w:t xml:space="preserve"> they also have a small proportion of the popula</w:t>
      </w:r>
      <w:r w:rsidR="005A43F6">
        <w:t>tion holding no qualifications.</w:t>
      </w:r>
    </w:p>
    <w:p w14:paraId="55349A0B" w14:textId="77777777" w:rsidR="00087B49" w:rsidRDefault="00087B49" w:rsidP="00CE554D">
      <w:r>
        <w:t>Clearly</w:t>
      </w:r>
      <w:r w:rsidR="005A43F6">
        <w:t>,</w:t>
      </w:r>
      <w:r>
        <w:t xml:space="preserve"> the level of skills and qualifications has to be relevant to business and the ability of organisations to utilise them effectively. This in </w:t>
      </w:r>
      <w:r w:rsidR="005A43F6">
        <w:t>turn relies</w:t>
      </w:r>
      <w:r>
        <w:t xml:space="preserve"> on an industry policy as well as the underpinning strategies to support the policy.</w:t>
      </w:r>
    </w:p>
    <w:p w14:paraId="5E0676EE" w14:textId="7ACB10C0" w:rsidR="00087B49" w:rsidRDefault="002E7915" w:rsidP="00CE554D">
      <w:r>
        <w:t>T</w:t>
      </w:r>
      <w:r w:rsidR="00087B49">
        <w:t>he trend</w:t>
      </w:r>
      <w:r w:rsidR="005A43F6">
        <w:t xml:space="preserve">s in the Australian economy </w:t>
      </w:r>
      <w:r>
        <w:t xml:space="preserve">are that </w:t>
      </w:r>
      <w:r w:rsidR="00087B49">
        <w:t>there is strong growth in the health and caring professions</w:t>
      </w:r>
      <w:r>
        <w:t>, which</w:t>
      </w:r>
      <w:r w:rsidR="008E67A4">
        <w:t xml:space="preserve"> </w:t>
      </w:r>
      <w:r w:rsidR="00087B49">
        <w:t>are primarily funded by government</w:t>
      </w:r>
      <w:r>
        <w:t xml:space="preserve">. This </w:t>
      </w:r>
      <w:r w:rsidR="00087B49">
        <w:t>suggest</w:t>
      </w:r>
      <w:r>
        <w:t>s</w:t>
      </w:r>
      <w:r w:rsidR="00087B49">
        <w:t xml:space="preserve"> that intermediate skills will become essential, especially as industries mature and regulation increases.</w:t>
      </w:r>
    </w:p>
    <w:p w14:paraId="390D679F" w14:textId="36B02AC9" w:rsidR="0074463C" w:rsidRDefault="0074463C" w:rsidP="003B3F3C">
      <w:pPr>
        <w:pStyle w:val="Heading2"/>
        <w:spacing w:before="0"/>
        <w:rPr>
          <w:rFonts w:asciiTheme="minorHAnsi" w:hAnsiTheme="minorHAnsi" w:cstheme="minorHAnsi"/>
          <w:b/>
          <w:color w:val="1F497D" w:themeColor="text2"/>
          <w:sz w:val="28"/>
          <w:szCs w:val="28"/>
        </w:rPr>
      </w:pPr>
      <w:bookmarkStart w:id="8" w:name="_Toc43128842"/>
      <w:r w:rsidRPr="003B3F3C">
        <w:rPr>
          <w:rFonts w:asciiTheme="minorHAnsi" w:hAnsiTheme="minorHAnsi" w:cstheme="minorHAnsi"/>
          <w:b/>
          <w:color w:val="1F497D" w:themeColor="text2"/>
          <w:sz w:val="28"/>
          <w:szCs w:val="28"/>
        </w:rPr>
        <w:t>I</w:t>
      </w:r>
      <w:r w:rsidR="00037FB2">
        <w:rPr>
          <w:rFonts w:asciiTheme="minorHAnsi" w:hAnsiTheme="minorHAnsi" w:cstheme="minorHAnsi"/>
          <w:b/>
          <w:color w:val="1F497D" w:themeColor="text2"/>
          <w:sz w:val="28"/>
          <w:szCs w:val="28"/>
        </w:rPr>
        <w:t>ntermediate skills and the i</w:t>
      </w:r>
      <w:r w:rsidRPr="003B3F3C">
        <w:rPr>
          <w:rFonts w:asciiTheme="minorHAnsi" w:hAnsiTheme="minorHAnsi" w:cstheme="minorHAnsi"/>
          <w:b/>
          <w:color w:val="1F497D" w:themeColor="text2"/>
          <w:sz w:val="28"/>
          <w:szCs w:val="28"/>
        </w:rPr>
        <w:t>n</w:t>
      </w:r>
      <w:r w:rsidR="00037FB2">
        <w:rPr>
          <w:rFonts w:asciiTheme="minorHAnsi" w:hAnsiTheme="minorHAnsi" w:cstheme="minorHAnsi"/>
          <w:b/>
          <w:color w:val="1F497D" w:themeColor="text2"/>
          <w:sz w:val="28"/>
          <w:szCs w:val="28"/>
        </w:rPr>
        <w:t>novative productive economy</w:t>
      </w:r>
      <w:bookmarkEnd w:id="8"/>
    </w:p>
    <w:p w14:paraId="524D0C76" w14:textId="77777777" w:rsidR="003B3F3C" w:rsidRPr="003B3F3C" w:rsidRDefault="003B3F3C" w:rsidP="003B3F3C">
      <w:pPr>
        <w:spacing w:after="0"/>
      </w:pPr>
    </w:p>
    <w:p w14:paraId="70E3F291" w14:textId="4439C032" w:rsidR="00087B49" w:rsidRDefault="00C37A4A" w:rsidP="003B3F3C">
      <w:pPr>
        <w:spacing w:after="0"/>
      </w:pPr>
      <w:r>
        <w:t xml:space="preserve">Much of the commentary </w:t>
      </w:r>
      <w:r w:rsidR="00087B49">
        <w:t xml:space="preserve">on intermediate skills refers to the hollowing out of the workforce, </w:t>
      </w:r>
      <w:r w:rsidR="00E750A2">
        <w:t xml:space="preserve">also described as </w:t>
      </w:r>
      <w:r w:rsidR="00087B49">
        <w:t>the hourglass workforce, or the shrinking middle. These reference</w:t>
      </w:r>
      <w:r>
        <w:t>s relate to a decline in middle-</w:t>
      </w:r>
      <w:r w:rsidR="00087B49">
        <w:t xml:space="preserve">level occupations. A closer analysis </w:t>
      </w:r>
      <w:r w:rsidR="00E750A2">
        <w:t xml:space="preserve">suggests that the </w:t>
      </w:r>
      <w:r w:rsidR="00087B49">
        <w:t xml:space="preserve">decline is primarily occurring in areas such as manufacturing, where technology has </w:t>
      </w:r>
      <w:r w:rsidR="00E750A2">
        <w:t xml:space="preserve">affected </w:t>
      </w:r>
      <w:r w:rsidR="00087B49">
        <w:t>supervisory job</w:t>
      </w:r>
      <w:r w:rsidR="002741E0">
        <w:t>s, and business administration.</w:t>
      </w:r>
    </w:p>
    <w:p w14:paraId="73DD8D7F" w14:textId="5EE1A189" w:rsidR="00087B49" w:rsidRDefault="00087B49" w:rsidP="00CE554D">
      <w:r>
        <w:t xml:space="preserve">Changing business practices </w:t>
      </w:r>
      <w:r w:rsidR="00E750A2">
        <w:t xml:space="preserve">affect </w:t>
      </w:r>
      <w:r>
        <w:t>both high</w:t>
      </w:r>
      <w:r w:rsidR="008E67A4">
        <w:t>-</w:t>
      </w:r>
      <w:r>
        <w:t xml:space="preserve">skilled </w:t>
      </w:r>
      <w:r w:rsidR="00C37A4A">
        <w:t>and intermediate</w:t>
      </w:r>
      <w:r>
        <w:t xml:space="preserve"> skilled work. For example, </w:t>
      </w:r>
      <w:r w:rsidR="00C37A4A">
        <w:t>journalism:</w:t>
      </w:r>
      <w:r>
        <w:t xml:space="preserve"> social media has seen a decline in full-time employment for the highly skilled journalist.</w:t>
      </w:r>
    </w:p>
    <w:p w14:paraId="158A45D6" w14:textId="1E0D8891" w:rsidR="00087B49" w:rsidRDefault="00087B49" w:rsidP="00CE554D">
      <w:r>
        <w:t>The intermediate workforce is a vital component in a country’s productive efforts, especially its capacity to innovate. The intermediate workforce is complementary to the efforts of highly skilled employees</w:t>
      </w:r>
      <w:r w:rsidR="00C37A4A">
        <w:t>,</w:t>
      </w:r>
      <w:r>
        <w:t xml:space="preserve"> such as professional engineers and scientists</w:t>
      </w:r>
      <w:r w:rsidR="00C37A4A">
        <w:t>,</w:t>
      </w:r>
      <w:r>
        <w:t xml:space="preserve"> who identify an</w:t>
      </w:r>
      <w:r w:rsidR="00C37A4A">
        <w:t>d acquire</w:t>
      </w:r>
      <w:r>
        <w:t xml:space="preserve"> external </w:t>
      </w:r>
      <w:r>
        <w:lastRenderedPageBreak/>
        <w:t xml:space="preserve">knowledge that can improve production </w:t>
      </w:r>
      <w:r w:rsidR="00E750A2">
        <w:t xml:space="preserve">but then </w:t>
      </w:r>
      <w:r>
        <w:t xml:space="preserve">rely on intermediate </w:t>
      </w:r>
      <w:r w:rsidR="00C37A4A">
        <w:t>skills to</w:t>
      </w:r>
      <w:r>
        <w:t xml:space="preserve"> implement the theory/knowledge</w:t>
      </w:r>
      <w:r w:rsidR="00AD24BB">
        <w:t xml:space="preserve">. </w:t>
      </w:r>
      <w:r>
        <w:t xml:space="preserve">The literature refers to this </w:t>
      </w:r>
      <w:r w:rsidR="00C37A4A">
        <w:t>as the</w:t>
      </w:r>
      <w:r>
        <w:t xml:space="preserve"> </w:t>
      </w:r>
      <w:r w:rsidR="00AD24BB">
        <w:t>‘</w:t>
      </w:r>
      <w:r>
        <w:t>adaptive capacity of organisations</w:t>
      </w:r>
      <w:r w:rsidR="00AD24BB">
        <w:t>’</w:t>
      </w:r>
      <w:r w:rsidR="00C37A4A">
        <w:t>.</w:t>
      </w:r>
    </w:p>
    <w:p w14:paraId="74A5F097" w14:textId="11427E80" w:rsidR="00087B49" w:rsidRDefault="00087B49" w:rsidP="00CE554D">
      <w:r>
        <w:t xml:space="preserve">For example, </w:t>
      </w:r>
      <w:r w:rsidR="00E750A2">
        <w:t xml:space="preserve">technicians undertake </w:t>
      </w:r>
      <w:r>
        <w:t>many key support roles in product design and devel</w:t>
      </w:r>
      <w:r w:rsidR="00C37A4A">
        <w:t>opment areas. One example was Holmesglen’s Furnishing C</w:t>
      </w:r>
      <w:r>
        <w:t>entre</w:t>
      </w:r>
      <w:r w:rsidR="008E67A4">
        <w:t>,</w:t>
      </w:r>
      <w:r>
        <w:t xml:space="preserve"> whi</w:t>
      </w:r>
      <w:r w:rsidR="00C37A4A">
        <w:t>ch had invested heavily in high-</w:t>
      </w:r>
      <w:r>
        <w:t xml:space="preserve">end production equipment. </w:t>
      </w:r>
      <w:r w:rsidR="00E750A2">
        <w:t>F</w:t>
      </w:r>
      <w:r>
        <w:t xml:space="preserve">inal year furniture design graduates </w:t>
      </w:r>
      <w:r w:rsidR="00E750A2">
        <w:t xml:space="preserve">were offered support from </w:t>
      </w:r>
      <w:r>
        <w:t xml:space="preserve">an industry panel </w:t>
      </w:r>
      <w:r w:rsidR="00E750A2">
        <w:t xml:space="preserve">comprising </w:t>
      </w:r>
      <w:r>
        <w:t>production technicians</w:t>
      </w:r>
      <w:r w:rsidR="00C37A4A">
        <w:t>,</w:t>
      </w:r>
      <w:r>
        <w:t xml:space="preserve"> </w:t>
      </w:r>
      <w:r w:rsidR="00E750A2">
        <w:t xml:space="preserve">who would advise on how to </w:t>
      </w:r>
      <w:r>
        <w:t>modify the design to make it a commercially feasible product and then produce a prototype.</w:t>
      </w:r>
    </w:p>
    <w:p w14:paraId="1D0BC67F" w14:textId="55BBA6C3" w:rsidR="00087B49" w:rsidRDefault="00C37A4A" w:rsidP="00CE554D">
      <w:r>
        <w:t>Cooperative Research Centres G</w:t>
      </w:r>
      <w:r w:rsidR="00087B49">
        <w:t>rants incorporate not only highly skilled researchers</w:t>
      </w:r>
      <w:r>
        <w:t xml:space="preserve"> in a wide range of fields</w:t>
      </w:r>
      <w:r w:rsidR="00087B49">
        <w:t>, but also include highly skilled technicians</w:t>
      </w:r>
      <w:r w:rsidR="00E750A2">
        <w:t>, especially in the building industry,</w:t>
      </w:r>
      <w:r w:rsidR="00087B49">
        <w:t xml:space="preserve"> to test the practicalities of some of the research solutions</w:t>
      </w:r>
      <w:r w:rsidR="00E750A2">
        <w:t>.</w:t>
      </w:r>
    </w:p>
    <w:p w14:paraId="67CAB081" w14:textId="77777777" w:rsidR="00087B49" w:rsidRDefault="00A53CC7" w:rsidP="00CE554D">
      <w:r>
        <w:t xml:space="preserve">Intermediate </w:t>
      </w:r>
      <w:r w:rsidR="00087B49">
        <w:t xml:space="preserve">skilled workers are a key to enabling firms that are investing in technology to be able to integrate, assimilate and exploit external knowledge. </w:t>
      </w:r>
      <w:r w:rsidR="00BC5147">
        <w:t>For example, i</w:t>
      </w:r>
      <w:r w:rsidR="00087B49">
        <w:t>n the fields of health medicine</w:t>
      </w:r>
      <w:r w:rsidR="00C37A4A">
        <w:t>,</w:t>
      </w:r>
      <w:r w:rsidR="00087B49">
        <w:t xml:space="preserve"> technicians </w:t>
      </w:r>
      <w:r w:rsidR="0074463C">
        <w:t xml:space="preserve">in surgery </w:t>
      </w:r>
      <w:r w:rsidR="00087B49">
        <w:t>play an impo</w:t>
      </w:r>
      <w:r w:rsidR="0074463C">
        <w:t xml:space="preserve">rtant role in </w:t>
      </w:r>
      <w:r w:rsidR="0074463C" w:rsidRPr="00BC5147">
        <w:t>operating enabling technology.</w:t>
      </w:r>
    </w:p>
    <w:p w14:paraId="65E231CF" w14:textId="24B57864" w:rsidR="00087B49" w:rsidRDefault="00087B49" w:rsidP="00CE554D">
      <w:r>
        <w:t>In a range of service industries in the aged care, health and othe</w:t>
      </w:r>
      <w:r w:rsidR="00C37A4A">
        <w:t>r related services</w:t>
      </w:r>
      <w:r w:rsidR="008E67A4">
        <w:t>,</w:t>
      </w:r>
      <w:r w:rsidR="00C37A4A">
        <w:t xml:space="preserve"> intermed</w:t>
      </w:r>
      <w:r w:rsidR="00A53CC7">
        <w:t xml:space="preserve">iate </w:t>
      </w:r>
      <w:r>
        <w:t xml:space="preserve">skills are vital and will become increasingly so as standards are raised and supervision becomes increasingly important. In </w:t>
      </w:r>
      <w:r w:rsidR="00E750A2">
        <w:t>health care</w:t>
      </w:r>
      <w:r>
        <w:t xml:space="preserve">, </w:t>
      </w:r>
      <w:r w:rsidR="008E67A4">
        <w:t xml:space="preserve">for example, </w:t>
      </w:r>
      <w:r>
        <w:t>the enrolled nurse support</w:t>
      </w:r>
      <w:r w:rsidR="00E750A2">
        <w:t>s</w:t>
      </w:r>
      <w:r>
        <w:t xml:space="preserve"> </w:t>
      </w:r>
      <w:r w:rsidR="00E750A2">
        <w:t xml:space="preserve">the </w:t>
      </w:r>
      <w:r>
        <w:t>registered nurse and is critical to the effective and efficient functioning of hospitals.</w:t>
      </w:r>
    </w:p>
    <w:p w14:paraId="319DB016" w14:textId="7BF68E06" w:rsidR="00087B49" w:rsidRDefault="00C37A4A" w:rsidP="00CE554D">
      <w:r>
        <w:t xml:space="preserve">The intermediate </w:t>
      </w:r>
      <w:r w:rsidR="00087B49">
        <w:t>skills workforce can consist of people with formal qualifications</w:t>
      </w:r>
      <w:r>
        <w:t>,</w:t>
      </w:r>
      <w:r w:rsidR="00087B49">
        <w:t xml:space="preserve"> but m</w:t>
      </w:r>
      <w:r>
        <w:t>any will be skilled</w:t>
      </w:r>
      <w:r w:rsidR="008E67A4">
        <w:t>,</w:t>
      </w:r>
      <w:r>
        <w:t xml:space="preserve"> experienced</w:t>
      </w:r>
      <w:r w:rsidR="00087B49">
        <w:t xml:space="preserve"> workers who </w:t>
      </w:r>
      <w:r w:rsidR="00A53CC7">
        <w:t>can bring</w:t>
      </w:r>
      <w:r w:rsidR="00087B49">
        <w:t xml:space="preserve"> a product to fruition simply </w:t>
      </w:r>
      <w:r w:rsidR="008E67A4">
        <w:t xml:space="preserve">as a result of </w:t>
      </w:r>
      <w:r w:rsidR="00087B49">
        <w:t>experience and innate knowledge. Many of these people have uncertified skills. (It is an area where</w:t>
      </w:r>
      <w:r w:rsidR="00BC5147">
        <w:t>,</w:t>
      </w:r>
      <w:r w:rsidR="00087B49">
        <w:t xml:space="preserve"> with strengthened RPL processes and external assessment</w:t>
      </w:r>
      <w:r w:rsidR="00BC5147">
        <w:t>, it</w:t>
      </w:r>
      <w:r w:rsidR="00087B49">
        <w:t xml:space="preserve"> could </w:t>
      </w:r>
      <w:r w:rsidR="00BC5147">
        <w:t xml:space="preserve">be of great </w:t>
      </w:r>
      <w:r w:rsidR="00087B49">
        <w:t xml:space="preserve">advantage </w:t>
      </w:r>
      <w:r w:rsidR="00BC5147">
        <w:t xml:space="preserve">to </w:t>
      </w:r>
      <w:r w:rsidR="00087B49">
        <w:t xml:space="preserve">adults and provide them with the capacity </w:t>
      </w:r>
      <w:r w:rsidR="00F10442">
        <w:t>to broaden</w:t>
      </w:r>
      <w:r w:rsidR="008E67A4">
        <w:t xml:space="preserve"> their </w:t>
      </w:r>
      <w:r w:rsidR="00087B49">
        <w:t>employment opportunities</w:t>
      </w:r>
      <w:r w:rsidR="00E750A2">
        <w:t>.</w:t>
      </w:r>
      <w:r w:rsidR="00087B49">
        <w:t>)</w:t>
      </w:r>
    </w:p>
    <w:p w14:paraId="09790653" w14:textId="77777777" w:rsidR="00087B49" w:rsidRDefault="00087B49" w:rsidP="00CE554D">
      <w:r w:rsidRPr="00260D79">
        <w:t xml:space="preserve">The literature suggests that innovative output </w:t>
      </w:r>
      <w:r w:rsidR="00260D79" w:rsidRPr="00260D79">
        <w:t xml:space="preserve">of the </w:t>
      </w:r>
      <w:r w:rsidR="00AD24BB" w:rsidRPr="00260D79">
        <w:t>workforce as a whole</w:t>
      </w:r>
      <w:r w:rsidR="00260D79" w:rsidRPr="00260D79">
        <w:t xml:space="preserve"> </w:t>
      </w:r>
      <w:r w:rsidRPr="00260D79">
        <w:t>in the production of goods and services depends on the skills, especially intermediate skills</w:t>
      </w:r>
      <w:r w:rsidR="00A53CC7" w:rsidRPr="00260D79">
        <w:t>,</w:t>
      </w:r>
      <w:r w:rsidRPr="00260D79">
        <w:t xml:space="preserve"> in turning knowledge into practice.</w:t>
      </w:r>
    </w:p>
    <w:p w14:paraId="02F458D3" w14:textId="04800DEC" w:rsidR="00087B49" w:rsidRDefault="00087B49" w:rsidP="00CE554D">
      <w:r>
        <w:t xml:space="preserve">It has already been demonstrated that a focus on higher education as a panacea to a productive Australia </w:t>
      </w:r>
      <w:r w:rsidR="00E750A2">
        <w:t xml:space="preserve">has </w:t>
      </w:r>
      <w:r>
        <w:t>not work</w:t>
      </w:r>
      <w:r w:rsidR="00E750A2">
        <w:t>ed</w:t>
      </w:r>
      <w:r>
        <w:t xml:space="preserve">. Innovation, whether in a product or </w:t>
      </w:r>
      <w:r w:rsidR="00E750A2">
        <w:t xml:space="preserve">a </w:t>
      </w:r>
      <w:r>
        <w:t>service</w:t>
      </w:r>
      <w:r w:rsidR="00E750A2">
        <w:t>,</w:t>
      </w:r>
      <w:r>
        <w:t xml:space="preserve"> relies a great deal on the productive capacity of the workforce as a </w:t>
      </w:r>
      <w:r w:rsidR="00A53CC7">
        <w:t xml:space="preserve">whole. </w:t>
      </w:r>
      <w:r>
        <w:t xml:space="preserve">The Commonwealth government’s innovation strategy </w:t>
      </w:r>
      <w:r w:rsidR="00E750A2">
        <w:t xml:space="preserve">fails </w:t>
      </w:r>
      <w:r>
        <w:t xml:space="preserve">to understand how innovation relies on not only higher education, but on vocational education and especially the intermediate skilled workforce. This omission is symptomatic of the understanding of VET capability in bureaucracies as much as </w:t>
      </w:r>
      <w:r w:rsidR="00A53CC7">
        <w:t>anything</w:t>
      </w:r>
      <w:r>
        <w:t xml:space="preserve"> else.</w:t>
      </w:r>
    </w:p>
    <w:p w14:paraId="730052BE" w14:textId="0CB900A6" w:rsidR="00087B49" w:rsidRDefault="00087B49" w:rsidP="00CE554D">
      <w:r>
        <w:t>Throughout the OECD, courses are heavily overlaid with information technology modules</w:t>
      </w:r>
      <w:r w:rsidR="004A2FD6">
        <w:t xml:space="preserve"> in the development of technicians</w:t>
      </w:r>
      <w:r>
        <w:t xml:space="preserve">. </w:t>
      </w:r>
      <w:r w:rsidR="002741E0" w:rsidRPr="0074463C">
        <w:t xml:space="preserve">These modules </w:t>
      </w:r>
      <w:r w:rsidRPr="0074463C">
        <w:t xml:space="preserve">are designed </w:t>
      </w:r>
      <w:r w:rsidR="00E750A2">
        <w:t xml:space="preserve">so that </w:t>
      </w:r>
      <w:r w:rsidR="00E750A2" w:rsidRPr="0074463C">
        <w:t xml:space="preserve">intermediate skilled workers </w:t>
      </w:r>
      <w:r w:rsidR="00E750A2">
        <w:t xml:space="preserve">can </w:t>
      </w:r>
      <w:r w:rsidRPr="0074463C">
        <w:t>make incremental improve</w:t>
      </w:r>
      <w:r w:rsidR="00613792" w:rsidRPr="0074463C">
        <w:t>ments to the production process</w:t>
      </w:r>
      <w:r w:rsidRPr="0074463C">
        <w:t>.</w:t>
      </w:r>
    </w:p>
    <w:p w14:paraId="6E7336CA" w14:textId="151390AA" w:rsidR="00BC5147" w:rsidRDefault="00BC5147" w:rsidP="00CE554D">
      <w:r>
        <w:t>Mason et al (2018) claim</w:t>
      </w:r>
      <w:r w:rsidR="00087B49">
        <w:t xml:space="preserve"> that there is evidence that </w:t>
      </w:r>
      <w:r w:rsidR="00E750A2">
        <w:t xml:space="preserve">where there is </w:t>
      </w:r>
      <w:r w:rsidR="007F5DB0">
        <w:t xml:space="preserve">a </w:t>
      </w:r>
      <w:r w:rsidR="00E750A2">
        <w:t xml:space="preserve">workforce of </w:t>
      </w:r>
      <w:r w:rsidR="00087B49">
        <w:t>higher</w:t>
      </w:r>
      <w:r w:rsidR="004A2FD6">
        <w:t xml:space="preserve"> intermediate employees</w:t>
      </w:r>
      <w:r w:rsidR="00E750A2">
        <w:t xml:space="preserve">, this </w:t>
      </w:r>
      <w:r w:rsidR="004A2FD6">
        <w:t>enable</w:t>
      </w:r>
      <w:r w:rsidR="00E750A2">
        <w:t>s</w:t>
      </w:r>
      <w:r w:rsidR="00087B49">
        <w:t xml:space="preserve"> senior managers and professional staff to think strategically and </w:t>
      </w:r>
      <w:r w:rsidR="004A2FD6">
        <w:t xml:space="preserve">perform </w:t>
      </w:r>
      <w:r w:rsidR="00087B49">
        <w:t>their job well</w:t>
      </w:r>
      <w:r w:rsidR="004A2FD6">
        <w:t>,</w:t>
      </w:r>
      <w:r w:rsidR="00087B49">
        <w:t xml:space="preserve"> rather than </w:t>
      </w:r>
      <w:r w:rsidR="007F5DB0">
        <w:t xml:space="preserve">having to </w:t>
      </w:r>
      <w:r w:rsidR="00087B49">
        <w:t>engag</w:t>
      </w:r>
      <w:r w:rsidR="007F5DB0">
        <w:t xml:space="preserve">e </w:t>
      </w:r>
      <w:r w:rsidR="00087B49">
        <w:t>in day-to-day firefighting activities</w:t>
      </w:r>
      <w:r w:rsidR="004A2FD6">
        <w:t>,</w:t>
      </w:r>
      <w:r w:rsidR="00087B49">
        <w:t xml:space="preserve"> i.e. dealing with problems that could have been avoided if the workplace as a whole had high levels of skill and competence.</w:t>
      </w:r>
      <w:r w:rsidR="002741E0">
        <w:t xml:space="preserve"> </w:t>
      </w:r>
    </w:p>
    <w:p w14:paraId="5509C636" w14:textId="04DEFE91" w:rsidR="00087B49" w:rsidRDefault="00087B49" w:rsidP="00CE554D">
      <w:r>
        <w:lastRenderedPageBreak/>
        <w:t xml:space="preserve">In Germany, firms were found to benefit </w:t>
      </w:r>
      <w:r w:rsidR="00D77279">
        <w:t>when s</w:t>
      </w:r>
      <w:r>
        <w:t xml:space="preserve">enior managers </w:t>
      </w:r>
      <w:r w:rsidR="00D77279">
        <w:t xml:space="preserve">were </w:t>
      </w:r>
      <w:r>
        <w:t xml:space="preserve">not </w:t>
      </w:r>
      <w:r w:rsidR="00D77279">
        <w:t>r</w:t>
      </w:r>
      <w:r>
        <w:t xml:space="preserve">equired to provide detailed supervision for craft trained workers in sectors as diverse as mechanical engineering </w:t>
      </w:r>
      <w:r w:rsidR="004A2FD6">
        <w:t xml:space="preserve">and </w:t>
      </w:r>
      <w:r>
        <w:t xml:space="preserve">hotels </w:t>
      </w:r>
      <w:r w:rsidR="007F5DB0">
        <w:t xml:space="preserve">because </w:t>
      </w:r>
      <w:r>
        <w:t xml:space="preserve">high intermediate skilled workers </w:t>
      </w:r>
      <w:r w:rsidR="007F5DB0">
        <w:t xml:space="preserve">were employed </w:t>
      </w:r>
      <w:r>
        <w:t>at the supervisory level.</w:t>
      </w:r>
    </w:p>
    <w:p w14:paraId="7305F5EF" w14:textId="79D8B293" w:rsidR="00087B49" w:rsidRDefault="00087B49" w:rsidP="00CE554D">
      <w:r>
        <w:t>A better</w:t>
      </w:r>
      <w:r w:rsidR="00386A02">
        <w:t>-</w:t>
      </w:r>
      <w:r>
        <w:t xml:space="preserve">balanced workforce is essential if Australia is to become </w:t>
      </w:r>
      <w:r w:rsidR="004A2FD6">
        <w:t xml:space="preserve">a </w:t>
      </w:r>
      <w:r>
        <w:t>more productive country. This in turn requires a significant repositioning of the status and resources available to vocational education.</w:t>
      </w:r>
    </w:p>
    <w:p w14:paraId="46B8B661" w14:textId="77777777" w:rsidR="00087B49" w:rsidRDefault="00087B49" w:rsidP="003B3F3C">
      <w:pPr>
        <w:pStyle w:val="Heading2"/>
        <w:spacing w:before="0"/>
        <w:rPr>
          <w:rFonts w:ascii="Calibri" w:hAnsi="Calibri" w:cs="Calibri"/>
          <w:b/>
          <w:color w:val="1F497D" w:themeColor="text2"/>
          <w:sz w:val="28"/>
          <w:szCs w:val="28"/>
        </w:rPr>
      </w:pPr>
      <w:bookmarkStart w:id="9" w:name="_Toc43128843"/>
      <w:r w:rsidRPr="003B3F3C">
        <w:rPr>
          <w:rFonts w:ascii="Calibri" w:hAnsi="Calibri" w:cs="Calibri"/>
          <w:b/>
          <w:color w:val="1F497D" w:themeColor="text2"/>
          <w:sz w:val="28"/>
          <w:szCs w:val="28"/>
        </w:rPr>
        <w:t xml:space="preserve">Strengthening intermediate </w:t>
      </w:r>
      <w:r w:rsidR="004A2FD6" w:rsidRPr="003B3F3C">
        <w:rPr>
          <w:rFonts w:ascii="Calibri" w:hAnsi="Calibri" w:cs="Calibri"/>
          <w:b/>
          <w:color w:val="1F497D" w:themeColor="text2"/>
          <w:sz w:val="28"/>
          <w:szCs w:val="28"/>
        </w:rPr>
        <w:t>skills in the Victorian economy</w:t>
      </w:r>
      <w:bookmarkEnd w:id="9"/>
    </w:p>
    <w:p w14:paraId="37397816" w14:textId="77777777" w:rsidR="003B3F3C" w:rsidRPr="003B3F3C" w:rsidRDefault="003B3F3C" w:rsidP="003B3F3C">
      <w:pPr>
        <w:spacing w:after="0"/>
      </w:pPr>
    </w:p>
    <w:p w14:paraId="32C0BD75" w14:textId="77777777" w:rsidR="00087B49" w:rsidRDefault="00087B49" w:rsidP="00CE554D">
      <w:r>
        <w:t>In the OECD and the European Union</w:t>
      </w:r>
      <w:r w:rsidR="00260D79">
        <w:t>,</w:t>
      </w:r>
      <w:r>
        <w:t xml:space="preserve"> intermediate level skill positions are divided into two:</w:t>
      </w:r>
    </w:p>
    <w:p w14:paraId="273106B3" w14:textId="0947B08F" w:rsidR="00087B49" w:rsidRDefault="00087B49" w:rsidP="00FF7A59">
      <w:pPr>
        <w:pStyle w:val="ListParagraph"/>
        <w:numPr>
          <w:ilvl w:val="0"/>
          <w:numId w:val="14"/>
        </w:numPr>
        <w:ind w:left="720"/>
      </w:pPr>
      <w:r>
        <w:t xml:space="preserve">lower intermediate: this refers to </w:t>
      </w:r>
      <w:r w:rsidR="00D77279">
        <w:t xml:space="preserve">completing </w:t>
      </w:r>
      <w:r>
        <w:t>upper secondary education that prepares students for entry directly into working</w:t>
      </w:r>
      <w:r w:rsidR="004A2FD6">
        <w:t xml:space="preserve"> life and/or tertiary education;</w:t>
      </w:r>
      <w:r w:rsidR="00D77279">
        <w:t xml:space="preserve"> and</w:t>
      </w:r>
    </w:p>
    <w:p w14:paraId="1EDAC8A9" w14:textId="77777777" w:rsidR="001E4F5C" w:rsidRDefault="001E4F5C" w:rsidP="00FF7A59">
      <w:pPr>
        <w:pStyle w:val="ListParagraph"/>
      </w:pPr>
    </w:p>
    <w:p w14:paraId="4A50C7BF" w14:textId="4272FB10" w:rsidR="00087B49" w:rsidRDefault="004A2FD6" w:rsidP="00FF7A59">
      <w:pPr>
        <w:pStyle w:val="ListParagraph"/>
        <w:numPr>
          <w:ilvl w:val="0"/>
          <w:numId w:val="14"/>
        </w:numPr>
        <w:ind w:left="720"/>
      </w:pPr>
      <w:r>
        <w:t>u</w:t>
      </w:r>
      <w:r w:rsidR="00087B49">
        <w:t xml:space="preserve">pper intermediate: </w:t>
      </w:r>
      <w:r w:rsidR="00674D60">
        <w:t>post-secondary</w:t>
      </w:r>
      <w:r w:rsidR="00087B49">
        <w:t xml:space="preserve"> non-tertiary studies</w:t>
      </w:r>
      <w:r w:rsidR="00674D60">
        <w:t xml:space="preserve"> </w:t>
      </w:r>
      <w:r w:rsidR="00872BC7">
        <w:t xml:space="preserve">that </w:t>
      </w:r>
      <w:r w:rsidR="00674D60">
        <w:t xml:space="preserve">focus </w:t>
      </w:r>
      <w:r w:rsidR="00087B49">
        <w:t xml:space="preserve">on practical, technical and occupational skills for the labour market. These qualifications normally </w:t>
      </w:r>
      <w:r w:rsidR="00872BC7">
        <w:t xml:space="preserve">take </w:t>
      </w:r>
      <w:r w:rsidR="00087B49">
        <w:t xml:space="preserve">a minimum of </w:t>
      </w:r>
      <w:r w:rsidR="00872BC7">
        <w:t>two</w:t>
      </w:r>
      <w:r w:rsidR="00087B49">
        <w:t xml:space="preserve"> years full-time </w:t>
      </w:r>
      <w:r w:rsidR="00872BC7">
        <w:t xml:space="preserve">study </w:t>
      </w:r>
      <w:r w:rsidR="00087B49">
        <w:t xml:space="preserve">at the tertiary level. They are sometimes called associate professionals or paraprofessionals and are often, but not always, </w:t>
      </w:r>
      <w:r w:rsidR="00872BC7">
        <w:t xml:space="preserve">undertaken by </w:t>
      </w:r>
      <w:r w:rsidR="00087B49">
        <w:t xml:space="preserve">older students </w:t>
      </w:r>
      <w:r w:rsidR="00872BC7">
        <w:t xml:space="preserve">gaining </w:t>
      </w:r>
      <w:r w:rsidR="00087B49">
        <w:t xml:space="preserve">intermediate studies on a part-time basis </w:t>
      </w:r>
      <w:r w:rsidR="00613792">
        <w:t>who</w:t>
      </w:r>
      <w:r w:rsidR="00087B49">
        <w:t xml:space="preserve"> gain credit for their work</w:t>
      </w:r>
      <w:r w:rsidR="00386A02">
        <w:t>-</w:t>
      </w:r>
      <w:r w:rsidR="00087B49">
        <w:t>related experiences.</w:t>
      </w:r>
    </w:p>
    <w:p w14:paraId="180BC7C0" w14:textId="77777777" w:rsidR="00087B49" w:rsidRDefault="00087B49" w:rsidP="00CE554D">
      <w:r>
        <w:t>A feature of both lower intermediate and upper immediate educatio</w:t>
      </w:r>
      <w:r w:rsidR="00613792">
        <w:t>n is that they have strong work-</w:t>
      </w:r>
      <w:r>
        <w:t>based components in association with formal education</w:t>
      </w:r>
      <w:r w:rsidR="004A2FD6">
        <w:t>.</w:t>
      </w:r>
    </w:p>
    <w:p w14:paraId="16FAD0AB" w14:textId="0E4CA082" w:rsidR="00087B49" w:rsidRDefault="00087B49" w:rsidP="00CE554D">
      <w:r>
        <w:t>Victoria has a partially f</w:t>
      </w:r>
      <w:r w:rsidR="007912BD">
        <w:t>ormed upper intermediate sector</w:t>
      </w:r>
      <w:r w:rsidR="00872BC7">
        <w:t>, which offers</w:t>
      </w:r>
      <w:r w:rsidR="00E213C9">
        <w:t xml:space="preserve"> </w:t>
      </w:r>
      <w:r>
        <w:t xml:space="preserve">diplomas and </w:t>
      </w:r>
      <w:r w:rsidR="00613792">
        <w:t>C</w:t>
      </w:r>
      <w:r>
        <w:t xml:space="preserve">ertificate </w:t>
      </w:r>
      <w:r w:rsidR="00613792">
        <w:t>IV</w:t>
      </w:r>
      <w:r w:rsidR="00872BC7">
        <w:t xml:space="preserve"> courses</w:t>
      </w:r>
      <w:r>
        <w:t xml:space="preserve">. It does not have an equivalent lower intermediate sector in upper secondary education. </w:t>
      </w:r>
      <w:r w:rsidR="00872BC7">
        <w:t xml:space="preserve">As such, with its vocational education organised at the upper secondary level on an ad hoc basis and offering dubious quality, </w:t>
      </w:r>
      <w:r>
        <w:t>Australia underperforms most OECD countries</w:t>
      </w:r>
      <w:r w:rsidR="00872BC7">
        <w:t>.</w:t>
      </w:r>
      <w:r>
        <w:t xml:space="preserve"> </w:t>
      </w:r>
    </w:p>
    <w:p w14:paraId="2F23E147" w14:textId="4EB99B5D" w:rsidR="00087B49" w:rsidRDefault="004A2FD6" w:rsidP="00CE554D">
      <w:r>
        <w:t xml:space="preserve">It is recognised </w:t>
      </w:r>
      <w:r w:rsidR="00087B49">
        <w:t xml:space="preserve">that upper secondary education is outside the terms of reference of this review. However, I believe it is imperative </w:t>
      </w:r>
      <w:r w:rsidR="00872BC7">
        <w:t xml:space="preserve">to note the following comments from </w:t>
      </w:r>
      <w:r w:rsidR="00674D60">
        <w:t>the introduction to the Firth R</w:t>
      </w:r>
      <w:r w:rsidR="00087B49">
        <w:t>eview</w:t>
      </w:r>
      <w:r w:rsidR="00872BC7">
        <w:t>:</w:t>
      </w:r>
      <w:r w:rsidR="00087B49">
        <w:t xml:space="preserve"> “Victorian students need access to high quality vocational and applied learning options that support them to successfully transition from school into post</w:t>
      </w:r>
      <w:r w:rsidR="00260D79">
        <w:t>-</w:t>
      </w:r>
      <w:r w:rsidR="00087B49">
        <w:t>secondary education and work.”</w:t>
      </w:r>
      <w:r w:rsidR="007912BD">
        <w:t xml:space="preserve"> (Firth, 2020)</w:t>
      </w:r>
    </w:p>
    <w:p w14:paraId="288D7F4E" w14:textId="77777777" w:rsidR="007912BD" w:rsidRPr="00594D25" w:rsidRDefault="00087B49" w:rsidP="00594D25">
      <w:pPr>
        <w:pStyle w:val="Heading2"/>
        <w:rPr>
          <w:rFonts w:ascii="Calibri" w:hAnsi="Calibri" w:cs="Calibri"/>
          <w:b/>
          <w:color w:val="1F497D" w:themeColor="text2"/>
          <w:sz w:val="28"/>
          <w:szCs w:val="28"/>
        </w:rPr>
      </w:pPr>
      <w:bookmarkStart w:id="10" w:name="_Toc43128844"/>
      <w:r w:rsidRPr="00594D25">
        <w:rPr>
          <w:rFonts w:ascii="Calibri" w:hAnsi="Calibri" w:cs="Calibri"/>
          <w:b/>
          <w:color w:val="1F497D" w:themeColor="text2"/>
          <w:sz w:val="28"/>
          <w:szCs w:val="28"/>
        </w:rPr>
        <w:t xml:space="preserve">Developing a lower </w:t>
      </w:r>
      <w:r w:rsidR="007912BD" w:rsidRPr="00594D25">
        <w:rPr>
          <w:rFonts w:ascii="Calibri" w:hAnsi="Calibri" w:cs="Calibri"/>
          <w:b/>
          <w:color w:val="1F497D" w:themeColor="text2"/>
          <w:sz w:val="28"/>
          <w:szCs w:val="28"/>
        </w:rPr>
        <w:t>intermediate track in Victoria</w:t>
      </w:r>
      <w:bookmarkEnd w:id="10"/>
    </w:p>
    <w:p w14:paraId="5759992B" w14:textId="77777777" w:rsidR="007912BD" w:rsidRDefault="007912BD" w:rsidP="00CE554D">
      <w:pPr>
        <w:spacing w:after="0"/>
      </w:pPr>
    </w:p>
    <w:p w14:paraId="2355EB8D" w14:textId="41FFDB1E" w:rsidR="00087B49" w:rsidRDefault="007912BD" w:rsidP="00CE554D">
      <w:r>
        <w:t>If</w:t>
      </w:r>
      <w:r w:rsidR="00087B49">
        <w:t xml:space="preserve"> the goal of vocational education is to create a system to minimise entry into low</w:t>
      </w:r>
      <w:r w:rsidR="007A1463">
        <w:t>-</w:t>
      </w:r>
      <w:r w:rsidR="00087B49">
        <w:t>skilled jobs for young people</w:t>
      </w:r>
      <w:r w:rsidR="004818EF">
        <w:t>,</w:t>
      </w:r>
      <w:r w:rsidR="00087B49">
        <w:t xml:space="preserve"> </w:t>
      </w:r>
      <w:r w:rsidR="00170176">
        <w:t>the</w:t>
      </w:r>
      <w:r w:rsidR="00087B49">
        <w:t xml:space="preserve">n a broad-based intermediate level option has to become part of a year 11 and 12 offering. </w:t>
      </w:r>
      <w:r w:rsidR="007A1463">
        <w:t xml:space="preserve">By comparing what is available internationally, it is clear that </w:t>
      </w:r>
      <w:r w:rsidR="00087B49">
        <w:t>the introduction of a vocational track or professional programs for years 11 and 12 has potential.</w:t>
      </w:r>
    </w:p>
    <w:p w14:paraId="6F6BB1F5" w14:textId="13AD2B34" w:rsidR="00037FB2" w:rsidRDefault="00037FB2" w:rsidP="00CE554D">
      <w:r>
        <w:t>Upper secondary education completers who do not go to university but choose VET often go backwards educationally.  Certificate III, which includes apprenticeships, is regarded internationally as upper secondary.  This is a clear example of why it is important to students to connect the sectors. (See Attachment B.)</w:t>
      </w:r>
    </w:p>
    <w:p w14:paraId="755F1366" w14:textId="00292847" w:rsidR="00037FB2" w:rsidRDefault="00037FB2" w:rsidP="00CE554D">
      <w:r>
        <w:lastRenderedPageBreak/>
        <w:t>Of e</w:t>
      </w:r>
      <w:r w:rsidR="000A3DDA">
        <w:t>qual concern</w:t>
      </w:r>
      <w:r w:rsidR="00E71428">
        <w:t xml:space="preserve"> </w:t>
      </w:r>
      <w:r w:rsidR="001540C5">
        <w:t>is</w:t>
      </w:r>
      <w:r w:rsidR="00E233EF">
        <w:t xml:space="preserve"> that</w:t>
      </w:r>
      <w:r w:rsidR="001540C5">
        <w:t xml:space="preserve"> there is no available information regarding outcomes for students who undertake a pre-apprenticeship and other alternative courses in upper secondary education. Such information is vital if better advice is going to be given to students regarding career choices and related educational decisions. It might also give confidence to the wider community that taxpayers’ money is being expended on useful and productive programs.</w:t>
      </w:r>
    </w:p>
    <w:p w14:paraId="323A4D66" w14:textId="787303F4" w:rsidR="00087B49" w:rsidRDefault="00087B49" w:rsidP="00CE554D">
      <w:r>
        <w:t xml:space="preserve">Victoria’s current vocational education arrangements are </w:t>
      </w:r>
      <w:r w:rsidR="00E213C9">
        <w:t xml:space="preserve">based on the </w:t>
      </w:r>
      <w:r w:rsidR="00F10442">
        <w:t>assumption that</w:t>
      </w:r>
      <w:r>
        <w:t xml:space="preserve"> people are preparing for specific jobs </w:t>
      </w:r>
      <w:r w:rsidR="004818EF">
        <w:t>in</w:t>
      </w:r>
      <w:r>
        <w:t xml:space="preserve"> primarily blue-collar jobs or low-level service jobs. VET is not seen as providing opportunities for further learning. </w:t>
      </w:r>
      <w:r w:rsidR="007A1463">
        <w:t>The VET curricular does not include core skills, such as literacy, numeracy and basic digital competence, which are important not only for occupational mobility, but also for further study. Moreover, h</w:t>
      </w:r>
      <w:r>
        <w:t xml:space="preserve">igher education is not normally available to students who undertake VET. </w:t>
      </w:r>
    </w:p>
    <w:p w14:paraId="01B81F58" w14:textId="7B0FEFA3" w:rsidR="00087B49" w:rsidRDefault="00087B49" w:rsidP="00CE554D">
      <w:r>
        <w:t xml:space="preserve">A vocational track in upper secondary education would focus on providing sufficiently broad and academically demanding VET programs that would allow students to gain initial employment </w:t>
      </w:r>
      <w:r w:rsidR="00A04493">
        <w:t>and/or</w:t>
      </w:r>
      <w:r w:rsidR="007A1463">
        <w:t xml:space="preserve"> </w:t>
      </w:r>
      <w:r>
        <w:t xml:space="preserve">continue </w:t>
      </w:r>
      <w:r w:rsidR="007A1463">
        <w:t xml:space="preserve">on </w:t>
      </w:r>
      <w:r>
        <w:t xml:space="preserve">to higher levels of education. </w:t>
      </w:r>
      <w:r w:rsidR="002D34A8">
        <w:t>A</w:t>
      </w:r>
      <w:r>
        <w:t xml:space="preserve"> fu</w:t>
      </w:r>
      <w:r w:rsidR="007912BD">
        <w:t>l</w:t>
      </w:r>
      <w:r w:rsidR="004818EF">
        <w:t>l-time, two</w:t>
      </w:r>
      <w:r w:rsidR="002D34A8">
        <w:t>-</w:t>
      </w:r>
      <w:r>
        <w:t xml:space="preserve">year </w:t>
      </w:r>
      <w:r w:rsidR="007A1463">
        <w:t xml:space="preserve">vocational track, for example, </w:t>
      </w:r>
      <w:r w:rsidR="002D34A8">
        <w:t xml:space="preserve">would </w:t>
      </w:r>
      <w:r>
        <w:t xml:space="preserve">be an </w:t>
      </w:r>
      <w:r w:rsidR="004818EF">
        <w:t>alternative to the existing two</w:t>
      </w:r>
      <w:r w:rsidR="002D34A8">
        <w:t>-</w:t>
      </w:r>
      <w:r>
        <w:t xml:space="preserve">year academic program. </w:t>
      </w:r>
      <w:r w:rsidR="007A1463">
        <w:t>E</w:t>
      </w:r>
      <w:r>
        <w:t>xternally assessed</w:t>
      </w:r>
      <w:r w:rsidR="007A1463">
        <w:t xml:space="preserve">, this track </w:t>
      </w:r>
      <w:r>
        <w:t xml:space="preserve">would </w:t>
      </w:r>
      <w:r w:rsidR="007A1463">
        <w:t xml:space="preserve">also </w:t>
      </w:r>
      <w:r>
        <w:t>incorporate significant managed work experiences</w:t>
      </w:r>
      <w:r w:rsidR="00E213C9">
        <w:t>,</w:t>
      </w:r>
      <w:r>
        <w:t xml:space="preserve"> similar to that undertaken </w:t>
      </w:r>
      <w:r w:rsidR="002D34A8">
        <w:t>by</w:t>
      </w:r>
      <w:r>
        <w:t xml:space="preserve"> enrolled nurses.</w:t>
      </w:r>
    </w:p>
    <w:p w14:paraId="0F972BEB" w14:textId="0668704F" w:rsidR="00087B49" w:rsidRDefault="00087B49" w:rsidP="00CE554D">
      <w:r>
        <w:t xml:space="preserve"> </w:t>
      </w:r>
      <w:r w:rsidR="007A1463">
        <w:t xml:space="preserve">A </w:t>
      </w:r>
      <w:r>
        <w:t xml:space="preserve">number of vocations or </w:t>
      </w:r>
      <w:r w:rsidR="004818EF">
        <w:t xml:space="preserve">clusters </w:t>
      </w:r>
      <w:r w:rsidR="002D34A8">
        <w:t xml:space="preserve">would have to be identified </w:t>
      </w:r>
      <w:r w:rsidR="004818EF">
        <w:t>and</w:t>
      </w:r>
      <w:r>
        <w:t xml:space="preserve"> then develop</w:t>
      </w:r>
      <w:r w:rsidR="002D34A8">
        <w:t xml:space="preserve">ed </w:t>
      </w:r>
      <w:r w:rsidR="007A1463">
        <w:t xml:space="preserve">according to the </w:t>
      </w:r>
      <w:r>
        <w:t>occupation</w:t>
      </w:r>
      <w:r w:rsidR="007A1463">
        <w:t xml:space="preserve">, with </w:t>
      </w:r>
      <w:r>
        <w:t>fo</w:t>
      </w:r>
      <w:r w:rsidR="00CD19FC">
        <w:t>cused and contextually designed</w:t>
      </w:r>
      <w:r>
        <w:t xml:space="preserve"> literacy, numeracy, communications and digital competence skills as well as relevant competencies. </w:t>
      </w:r>
      <w:r w:rsidR="002D34A8">
        <w:t xml:space="preserve">The </w:t>
      </w:r>
      <w:r>
        <w:t>United Kingdom</w:t>
      </w:r>
      <w:r w:rsidR="007A1463">
        <w:t>, for example,</w:t>
      </w:r>
      <w:r>
        <w:t xml:space="preserve"> </w:t>
      </w:r>
      <w:r w:rsidR="002D34A8">
        <w:t xml:space="preserve">has made </w:t>
      </w:r>
      <w:r>
        <w:t>significant efforts to reconceptualise upper secondary education th</w:t>
      </w:r>
      <w:r w:rsidR="004818EF">
        <w:t>rough the development of ‘</w:t>
      </w:r>
      <w:r w:rsidR="004818EF" w:rsidRPr="002741E0">
        <w:t>is T L</w:t>
      </w:r>
      <w:r w:rsidRPr="002741E0">
        <w:t>evels’</w:t>
      </w:r>
      <w:r w:rsidR="002D34A8">
        <w:t>. The creation of higher apprenticeships ha</w:t>
      </w:r>
      <w:r w:rsidR="00E213C9">
        <w:t>s</w:t>
      </w:r>
      <w:r w:rsidR="002D34A8">
        <w:t xml:space="preserve"> </w:t>
      </w:r>
      <w:r w:rsidR="007A1463">
        <w:t xml:space="preserve">further </w:t>
      </w:r>
      <w:r>
        <w:t>strengthen</w:t>
      </w:r>
      <w:r w:rsidR="002D34A8">
        <w:t>ed</w:t>
      </w:r>
      <w:r>
        <w:t xml:space="preserve"> link</w:t>
      </w:r>
      <w:r w:rsidR="007A1463">
        <w:t>s</w:t>
      </w:r>
      <w:r>
        <w:t xml:space="preserve"> to hi</w:t>
      </w:r>
      <w:r w:rsidR="004818EF">
        <w:t>gher educational and employers</w:t>
      </w:r>
      <w:r w:rsidR="002D34A8">
        <w:t>.</w:t>
      </w:r>
    </w:p>
    <w:p w14:paraId="357C8BA6" w14:textId="6FA936A7" w:rsidR="00087B49" w:rsidRDefault="00087B49" w:rsidP="00CE554D">
      <w:r>
        <w:t>The OECD says that initial VET programs</w:t>
      </w:r>
      <w:r w:rsidR="007A1463">
        <w:t xml:space="preserve"> that</w:t>
      </w:r>
      <w:r>
        <w:t xml:space="preserve"> have not been reformed provide weak links to progression to higher education. They </w:t>
      </w:r>
      <w:r w:rsidR="007A1463">
        <w:t xml:space="preserve">also </w:t>
      </w:r>
      <w:r w:rsidR="00CD19FC">
        <w:t>become unattractive to students and</w:t>
      </w:r>
      <w:r>
        <w:t xml:space="preserve"> employers.</w:t>
      </w:r>
    </w:p>
    <w:p w14:paraId="06062F68" w14:textId="7B4C026B" w:rsidR="00087B49" w:rsidRDefault="009E4866" w:rsidP="00CE554D">
      <w:r>
        <w:t xml:space="preserve">Furthermore, </w:t>
      </w:r>
      <w:r w:rsidR="00087B49">
        <w:t xml:space="preserve">Jorgensen </w:t>
      </w:r>
      <w:r w:rsidR="001E4F5C">
        <w:t xml:space="preserve">(2017) </w:t>
      </w:r>
      <w:r>
        <w:t xml:space="preserve">argues that </w:t>
      </w:r>
      <w:r w:rsidR="00087B49">
        <w:t>weak opportunities for transiti</w:t>
      </w:r>
      <w:r w:rsidR="00D246A0">
        <w:t>on from apprenticeships to post-</w:t>
      </w:r>
      <w:r w:rsidR="00087B49">
        <w:t xml:space="preserve">secondary education has been suggested as one cause </w:t>
      </w:r>
      <w:r w:rsidR="002F1E59">
        <w:t xml:space="preserve">of </w:t>
      </w:r>
      <w:r w:rsidR="00087B49">
        <w:t>falling participation in youth apprenticeships.</w:t>
      </w:r>
    </w:p>
    <w:p w14:paraId="365562ED" w14:textId="3D0E13D5" w:rsidR="0074463C" w:rsidRDefault="00260D79" w:rsidP="00CE554D">
      <w:r>
        <w:t xml:space="preserve">In one of the few studies of </w:t>
      </w:r>
      <w:r w:rsidR="007A1463">
        <w:t xml:space="preserve">its </w:t>
      </w:r>
      <w:r>
        <w:t xml:space="preserve">type, </w:t>
      </w:r>
      <w:proofErr w:type="spellStart"/>
      <w:r w:rsidR="0057329A" w:rsidRPr="0057329A">
        <w:t>Callendar</w:t>
      </w:r>
      <w:proofErr w:type="spellEnd"/>
      <w:r w:rsidR="0057329A" w:rsidRPr="0057329A">
        <w:t xml:space="preserve"> and </w:t>
      </w:r>
      <w:r w:rsidR="00087B49" w:rsidRPr="0057329A">
        <w:t>Mason</w:t>
      </w:r>
      <w:r w:rsidRPr="0057329A">
        <w:t xml:space="preserve"> (2018)</w:t>
      </w:r>
      <w:r w:rsidR="00087B49" w:rsidRPr="0057329A">
        <w:t xml:space="preserve"> provide</w:t>
      </w:r>
      <w:r w:rsidR="00087B49">
        <w:t xml:space="preserve"> results derived from</w:t>
      </w:r>
      <w:r w:rsidR="00CD19FC">
        <w:t xml:space="preserve"> a</w:t>
      </w:r>
      <w:r w:rsidR="00087B49">
        <w:t xml:space="preserve"> 2015 survey of year 12 students in England regarding their attitudes towards apprenticeships and work</w:t>
      </w:r>
      <w:r>
        <w:t>. It is i</w:t>
      </w:r>
      <w:r w:rsidR="00087B49">
        <w:t xml:space="preserve">nteresting in terms of how </w:t>
      </w:r>
      <w:r w:rsidR="007A1463">
        <w:t xml:space="preserve">the opportunities for </w:t>
      </w:r>
      <w:r w:rsidR="00087B49">
        <w:t xml:space="preserve">further study </w:t>
      </w:r>
      <w:r w:rsidR="007A1463">
        <w:t xml:space="preserve">can </w:t>
      </w:r>
      <w:r w:rsidR="00087B49">
        <w:t xml:space="preserve">influence </w:t>
      </w:r>
      <w:r w:rsidR="00CD19FC">
        <w:t xml:space="preserve">student </w:t>
      </w:r>
      <w:r w:rsidR="00087B49">
        <w:t>destination</w:t>
      </w:r>
      <w:r w:rsidR="00CD19FC">
        <w:t>s</w:t>
      </w:r>
      <w:r w:rsidR="0057329A">
        <w:t xml:space="preserve"> (Table 14).</w:t>
      </w:r>
      <w:r w:rsidR="007A1463">
        <w:t xml:space="preserve"> Some 56 per cent of respondents were very interested or quite interested in starting an apprenticeship </w:t>
      </w:r>
      <w:r w:rsidR="00044FCD">
        <w:t xml:space="preserve">as long as it was likely to lead to higher education in the future. </w:t>
      </w:r>
      <w:r w:rsidR="00E213C9">
        <w:t>On the other hand, s</w:t>
      </w:r>
      <w:r w:rsidR="00044FCD">
        <w:t>ome 73 per cent of respondents were not at all or not very interested in an apprenticeship if t</w:t>
      </w:r>
      <w:r w:rsidR="00B1145C">
        <w:t>his pathway were not possible.</w:t>
      </w:r>
    </w:p>
    <w:p w14:paraId="04C0F624" w14:textId="77777777" w:rsidR="009B0F1B" w:rsidRDefault="009B0F1B">
      <w:pPr>
        <w:rPr>
          <w:highlight w:val="yellow"/>
        </w:rPr>
      </w:pPr>
      <w:r>
        <w:rPr>
          <w:highlight w:val="yellow"/>
        </w:rPr>
        <w:br w:type="page"/>
      </w:r>
    </w:p>
    <w:p w14:paraId="79AF86F6" w14:textId="57678B44" w:rsidR="009B0F1B" w:rsidRPr="00250712" w:rsidRDefault="009B0F1B" w:rsidP="009B0F1B">
      <w:pPr>
        <w:spacing w:after="0"/>
        <w:rPr>
          <w:b/>
          <w:color w:val="1F497D" w:themeColor="text2"/>
          <w:sz w:val="24"/>
        </w:rPr>
      </w:pPr>
      <w:r w:rsidRPr="00250712">
        <w:rPr>
          <w:b/>
          <w:color w:val="1F497D" w:themeColor="text2"/>
          <w:sz w:val="24"/>
        </w:rPr>
        <w:lastRenderedPageBreak/>
        <w:t>Table 1</w:t>
      </w:r>
      <w:r w:rsidR="00193247">
        <w:rPr>
          <w:b/>
          <w:color w:val="1F497D" w:themeColor="text2"/>
          <w:sz w:val="24"/>
        </w:rPr>
        <w:t>3</w:t>
      </w:r>
      <w:r w:rsidR="00250712">
        <w:rPr>
          <w:b/>
          <w:color w:val="1F497D" w:themeColor="text2"/>
          <w:sz w:val="24"/>
        </w:rPr>
        <w:t xml:space="preserve"> </w:t>
      </w:r>
      <w:r w:rsidRPr="00250712">
        <w:rPr>
          <w:b/>
          <w:color w:val="1F497D" w:themeColor="text2"/>
          <w:sz w:val="24"/>
        </w:rPr>
        <w:t xml:space="preserve">School and FE college student responses in 2015 to question:  </w:t>
      </w:r>
    </w:p>
    <w:p w14:paraId="5DD97AEF" w14:textId="7532B796" w:rsidR="0074463C" w:rsidRPr="00250712" w:rsidRDefault="008B6E48" w:rsidP="008B6E48">
      <w:pPr>
        <w:tabs>
          <w:tab w:val="left" w:pos="851"/>
        </w:tabs>
        <w:spacing w:after="0"/>
        <w:ind w:left="851" w:hanging="851"/>
        <w:rPr>
          <w:b/>
          <w:color w:val="1F497D" w:themeColor="text2"/>
          <w:sz w:val="24"/>
        </w:rPr>
      </w:pPr>
      <w:r>
        <w:rPr>
          <w:b/>
          <w:color w:val="1F497D" w:themeColor="text2"/>
          <w:sz w:val="24"/>
        </w:rPr>
        <w:tab/>
      </w:r>
      <w:r w:rsidR="009B0F1B" w:rsidRPr="00250712">
        <w:rPr>
          <w:b/>
          <w:color w:val="1F497D" w:themeColor="text2"/>
          <w:sz w:val="24"/>
        </w:rPr>
        <w:t>After completing your studies this year, how interested would you be in these options, instead of going to university? (population-weighted)</w:t>
      </w:r>
    </w:p>
    <w:p w14:paraId="7B4E0E7E" w14:textId="77777777" w:rsidR="009B0F1B" w:rsidRDefault="009B0F1B" w:rsidP="00CE554D"/>
    <w:tbl>
      <w:tblPr>
        <w:tblStyle w:val="TableGrid"/>
        <w:tblW w:w="0" w:type="auto"/>
        <w:tblBorders>
          <w:top w:val="single" w:sz="12" w:space="0" w:color="1F497D" w:themeColor="text2"/>
          <w:left w:val="single" w:sz="12" w:space="0" w:color="1F497D" w:themeColor="text2"/>
          <w:bottom w:val="single" w:sz="12" w:space="0" w:color="1F497D" w:themeColor="text2"/>
          <w:right w:val="single" w:sz="12" w:space="0" w:color="1F497D" w:themeColor="text2"/>
          <w:insideH w:val="single" w:sz="2" w:space="0" w:color="1F497D" w:themeColor="text2"/>
          <w:insideV w:val="single" w:sz="2" w:space="0" w:color="1F497D" w:themeColor="text2"/>
        </w:tblBorders>
        <w:tblLook w:val="04A0" w:firstRow="1" w:lastRow="0" w:firstColumn="1" w:lastColumn="0" w:noHBand="0" w:noVBand="1"/>
      </w:tblPr>
      <w:tblGrid>
        <w:gridCol w:w="2957"/>
        <w:gridCol w:w="1010"/>
        <w:gridCol w:w="1011"/>
        <w:gridCol w:w="1010"/>
        <w:gridCol w:w="1011"/>
        <w:gridCol w:w="1011"/>
        <w:gridCol w:w="243"/>
        <w:gridCol w:w="743"/>
      </w:tblGrid>
      <w:tr w:rsidR="00922137" w:rsidRPr="009B0F1B" w14:paraId="2140FF82" w14:textId="77777777" w:rsidTr="00F2668B">
        <w:tc>
          <w:tcPr>
            <w:tcW w:w="2957" w:type="dxa"/>
          </w:tcPr>
          <w:p w14:paraId="7C8EF8A6" w14:textId="77777777" w:rsidR="00922137" w:rsidRPr="009B0F1B" w:rsidRDefault="00922137" w:rsidP="00CE554D">
            <w:pPr>
              <w:rPr>
                <w:sz w:val="18"/>
                <w:szCs w:val="18"/>
              </w:rPr>
            </w:pPr>
          </w:p>
        </w:tc>
        <w:tc>
          <w:tcPr>
            <w:tcW w:w="1010" w:type="dxa"/>
          </w:tcPr>
          <w:p w14:paraId="13E5E255" w14:textId="77777777" w:rsidR="00922137" w:rsidRPr="00922137" w:rsidRDefault="00922137" w:rsidP="00922137">
            <w:pPr>
              <w:jc w:val="center"/>
              <w:rPr>
                <w:b/>
                <w:sz w:val="18"/>
                <w:szCs w:val="18"/>
              </w:rPr>
            </w:pPr>
            <w:r w:rsidRPr="00922137">
              <w:rPr>
                <w:b/>
                <w:sz w:val="18"/>
                <w:szCs w:val="18"/>
              </w:rPr>
              <w:t>Very interested</w:t>
            </w:r>
          </w:p>
        </w:tc>
        <w:tc>
          <w:tcPr>
            <w:tcW w:w="1011" w:type="dxa"/>
          </w:tcPr>
          <w:p w14:paraId="75288B40" w14:textId="77777777" w:rsidR="00922137" w:rsidRPr="00922137" w:rsidRDefault="00922137" w:rsidP="00922137">
            <w:pPr>
              <w:jc w:val="center"/>
              <w:rPr>
                <w:b/>
                <w:sz w:val="18"/>
                <w:szCs w:val="18"/>
              </w:rPr>
            </w:pPr>
            <w:r w:rsidRPr="00922137">
              <w:rPr>
                <w:b/>
                <w:sz w:val="18"/>
                <w:szCs w:val="18"/>
              </w:rPr>
              <w:t>Quite interested</w:t>
            </w:r>
          </w:p>
        </w:tc>
        <w:tc>
          <w:tcPr>
            <w:tcW w:w="1010" w:type="dxa"/>
          </w:tcPr>
          <w:p w14:paraId="2F73152E" w14:textId="77777777" w:rsidR="00922137" w:rsidRPr="00922137" w:rsidRDefault="00922137" w:rsidP="00922137">
            <w:pPr>
              <w:jc w:val="center"/>
              <w:rPr>
                <w:b/>
                <w:sz w:val="18"/>
                <w:szCs w:val="18"/>
              </w:rPr>
            </w:pPr>
            <w:r w:rsidRPr="00922137">
              <w:rPr>
                <w:b/>
                <w:sz w:val="18"/>
                <w:szCs w:val="18"/>
              </w:rPr>
              <w:t>Not very interested</w:t>
            </w:r>
          </w:p>
        </w:tc>
        <w:tc>
          <w:tcPr>
            <w:tcW w:w="1011" w:type="dxa"/>
          </w:tcPr>
          <w:p w14:paraId="6D005429" w14:textId="77777777" w:rsidR="00922137" w:rsidRPr="00922137" w:rsidRDefault="00922137" w:rsidP="00922137">
            <w:pPr>
              <w:jc w:val="center"/>
              <w:rPr>
                <w:b/>
                <w:sz w:val="18"/>
                <w:szCs w:val="18"/>
              </w:rPr>
            </w:pPr>
            <w:r w:rsidRPr="00922137">
              <w:rPr>
                <w:b/>
                <w:sz w:val="18"/>
                <w:szCs w:val="18"/>
              </w:rPr>
              <w:t>Not at all interested</w:t>
            </w:r>
          </w:p>
        </w:tc>
        <w:tc>
          <w:tcPr>
            <w:tcW w:w="1011" w:type="dxa"/>
          </w:tcPr>
          <w:p w14:paraId="40A9898D" w14:textId="77777777" w:rsidR="00922137" w:rsidRPr="00922137" w:rsidRDefault="00922137" w:rsidP="00922137">
            <w:pPr>
              <w:jc w:val="center"/>
              <w:rPr>
                <w:b/>
                <w:sz w:val="18"/>
                <w:szCs w:val="18"/>
              </w:rPr>
            </w:pPr>
            <w:r w:rsidRPr="00922137">
              <w:rPr>
                <w:b/>
                <w:sz w:val="18"/>
                <w:szCs w:val="18"/>
              </w:rPr>
              <w:t>Total</w:t>
            </w:r>
          </w:p>
        </w:tc>
        <w:tc>
          <w:tcPr>
            <w:tcW w:w="243" w:type="dxa"/>
          </w:tcPr>
          <w:p w14:paraId="430ECC5A" w14:textId="77777777" w:rsidR="00922137" w:rsidRPr="009B0F1B" w:rsidRDefault="00922137" w:rsidP="00CE554D">
            <w:pPr>
              <w:rPr>
                <w:sz w:val="18"/>
                <w:szCs w:val="18"/>
              </w:rPr>
            </w:pPr>
          </w:p>
        </w:tc>
        <w:tc>
          <w:tcPr>
            <w:tcW w:w="743" w:type="dxa"/>
          </w:tcPr>
          <w:p w14:paraId="29C26247" w14:textId="77777777" w:rsidR="00922137" w:rsidRPr="009B0F1B" w:rsidRDefault="00922137" w:rsidP="00CE554D">
            <w:pPr>
              <w:rPr>
                <w:sz w:val="18"/>
                <w:szCs w:val="18"/>
              </w:rPr>
            </w:pPr>
          </w:p>
        </w:tc>
      </w:tr>
      <w:tr w:rsidR="00922137" w:rsidRPr="009B0F1B" w14:paraId="74644667" w14:textId="77777777" w:rsidTr="00F2668B">
        <w:tc>
          <w:tcPr>
            <w:tcW w:w="2957" w:type="dxa"/>
          </w:tcPr>
          <w:p w14:paraId="5596DD2A" w14:textId="77777777" w:rsidR="00922137" w:rsidRPr="009B0F1B" w:rsidRDefault="00922137" w:rsidP="00CE554D">
            <w:pPr>
              <w:rPr>
                <w:sz w:val="18"/>
                <w:szCs w:val="18"/>
              </w:rPr>
            </w:pPr>
          </w:p>
        </w:tc>
        <w:tc>
          <w:tcPr>
            <w:tcW w:w="5053" w:type="dxa"/>
            <w:gridSpan w:val="5"/>
          </w:tcPr>
          <w:p w14:paraId="17AF8447" w14:textId="77777777" w:rsidR="00922137" w:rsidRPr="00F2668B" w:rsidRDefault="00922137" w:rsidP="00922137">
            <w:pPr>
              <w:jc w:val="center"/>
              <w:rPr>
                <w:i/>
                <w:sz w:val="10"/>
                <w:szCs w:val="18"/>
              </w:rPr>
            </w:pPr>
          </w:p>
          <w:p w14:paraId="43726079" w14:textId="77777777" w:rsidR="00922137" w:rsidRPr="00F2668B" w:rsidRDefault="00922137" w:rsidP="00922137">
            <w:pPr>
              <w:jc w:val="center"/>
              <w:rPr>
                <w:i/>
                <w:sz w:val="16"/>
                <w:szCs w:val="18"/>
              </w:rPr>
            </w:pPr>
            <w:r>
              <w:rPr>
                <w:i/>
                <w:sz w:val="18"/>
                <w:szCs w:val="18"/>
              </w:rPr>
              <w:t>% of respondents (population-weighted)</w:t>
            </w:r>
          </w:p>
          <w:p w14:paraId="15EBE324" w14:textId="77777777" w:rsidR="00922137" w:rsidRPr="00922137" w:rsidRDefault="00922137" w:rsidP="00922137">
            <w:pPr>
              <w:jc w:val="center"/>
              <w:rPr>
                <w:i/>
                <w:sz w:val="18"/>
                <w:szCs w:val="18"/>
              </w:rPr>
            </w:pPr>
          </w:p>
        </w:tc>
        <w:tc>
          <w:tcPr>
            <w:tcW w:w="243" w:type="dxa"/>
          </w:tcPr>
          <w:p w14:paraId="1575A61C" w14:textId="77777777" w:rsidR="00922137" w:rsidRDefault="00922137" w:rsidP="00CE554D">
            <w:pPr>
              <w:rPr>
                <w:i/>
                <w:sz w:val="18"/>
                <w:szCs w:val="18"/>
              </w:rPr>
            </w:pPr>
          </w:p>
        </w:tc>
        <w:tc>
          <w:tcPr>
            <w:tcW w:w="743" w:type="dxa"/>
          </w:tcPr>
          <w:p w14:paraId="5D724554" w14:textId="77777777" w:rsidR="00922137" w:rsidRDefault="00922137" w:rsidP="00CE554D">
            <w:pPr>
              <w:rPr>
                <w:i/>
                <w:sz w:val="18"/>
                <w:szCs w:val="18"/>
              </w:rPr>
            </w:pPr>
          </w:p>
          <w:p w14:paraId="03DA9A76" w14:textId="77777777" w:rsidR="00922137" w:rsidRPr="00922137" w:rsidRDefault="00922137" w:rsidP="00CE554D">
            <w:pPr>
              <w:rPr>
                <w:i/>
                <w:sz w:val="18"/>
                <w:szCs w:val="18"/>
              </w:rPr>
            </w:pPr>
            <w:r>
              <w:rPr>
                <w:i/>
                <w:sz w:val="18"/>
                <w:szCs w:val="18"/>
              </w:rPr>
              <w:t>n =</w:t>
            </w:r>
          </w:p>
        </w:tc>
      </w:tr>
      <w:tr w:rsidR="00922137" w:rsidRPr="009B0F1B" w14:paraId="52A1357C" w14:textId="77777777" w:rsidTr="00F2668B">
        <w:tc>
          <w:tcPr>
            <w:tcW w:w="2957" w:type="dxa"/>
          </w:tcPr>
          <w:p w14:paraId="45EDDDB2" w14:textId="77777777" w:rsidR="00922137" w:rsidRDefault="00922137" w:rsidP="00CE554D">
            <w:pPr>
              <w:rPr>
                <w:sz w:val="18"/>
                <w:szCs w:val="18"/>
              </w:rPr>
            </w:pPr>
          </w:p>
          <w:p w14:paraId="515ECE4E" w14:textId="77777777" w:rsidR="00922137" w:rsidRPr="009B0F1B" w:rsidRDefault="00922137" w:rsidP="00CE554D">
            <w:pPr>
              <w:rPr>
                <w:sz w:val="18"/>
                <w:szCs w:val="18"/>
              </w:rPr>
            </w:pPr>
            <w:r>
              <w:rPr>
                <w:sz w:val="18"/>
                <w:szCs w:val="18"/>
              </w:rPr>
              <w:t>Start in a job even if not much formal training will be provided</w:t>
            </w:r>
            <w:r>
              <w:rPr>
                <w:sz w:val="18"/>
                <w:szCs w:val="18"/>
              </w:rPr>
              <w:br/>
            </w:r>
          </w:p>
        </w:tc>
        <w:tc>
          <w:tcPr>
            <w:tcW w:w="1010" w:type="dxa"/>
          </w:tcPr>
          <w:p w14:paraId="3D1D5B9B" w14:textId="77777777" w:rsidR="00922137" w:rsidRDefault="00922137" w:rsidP="00922137">
            <w:pPr>
              <w:jc w:val="center"/>
              <w:rPr>
                <w:sz w:val="18"/>
                <w:szCs w:val="18"/>
              </w:rPr>
            </w:pPr>
          </w:p>
          <w:p w14:paraId="2A5017E9" w14:textId="77777777" w:rsidR="00922137" w:rsidRDefault="00922137" w:rsidP="00922137">
            <w:pPr>
              <w:jc w:val="center"/>
              <w:rPr>
                <w:sz w:val="18"/>
                <w:szCs w:val="18"/>
              </w:rPr>
            </w:pPr>
            <w:r>
              <w:rPr>
                <w:sz w:val="18"/>
                <w:szCs w:val="18"/>
              </w:rPr>
              <w:t>5</w:t>
            </w:r>
          </w:p>
          <w:p w14:paraId="5DB20DE0" w14:textId="77777777" w:rsidR="00922137" w:rsidRPr="009B0F1B" w:rsidRDefault="00922137" w:rsidP="00922137">
            <w:pPr>
              <w:jc w:val="center"/>
              <w:rPr>
                <w:sz w:val="18"/>
                <w:szCs w:val="18"/>
              </w:rPr>
            </w:pPr>
          </w:p>
        </w:tc>
        <w:tc>
          <w:tcPr>
            <w:tcW w:w="1011" w:type="dxa"/>
          </w:tcPr>
          <w:p w14:paraId="12CB281D" w14:textId="77777777" w:rsidR="00922137" w:rsidRDefault="00922137" w:rsidP="00922137">
            <w:pPr>
              <w:jc w:val="center"/>
              <w:rPr>
                <w:sz w:val="18"/>
                <w:szCs w:val="18"/>
              </w:rPr>
            </w:pPr>
          </w:p>
          <w:p w14:paraId="16CE9CEE" w14:textId="77777777" w:rsidR="00922137" w:rsidRPr="009B0F1B" w:rsidRDefault="00922137" w:rsidP="00922137">
            <w:pPr>
              <w:jc w:val="center"/>
              <w:rPr>
                <w:sz w:val="18"/>
                <w:szCs w:val="18"/>
              </w:rPr>
            </w:pPr>
            <w:r>
              <w:rPr>
                <w:sz w:val="18"/>
                <w:szCs w:val="18"/>
              </w:rPr>
              <w:t>22</w:t>
            </w:r>
          </w:p>
        </w:tc>
        <w:tc>
          <w:tcPr>
            <w:tcW w:w="1010" w:type="dxa"/>
          </w:tcPr>
          <w:p w14:paraId="0F671960" w14:textId="77777777" w:rsidR="00922137" w:rsidRDefault="00922137" w:rsidP="00922137">
            <w:pPr>
              <w:jc w:val="center"/>
              <w:rPr>
                <w:sz w:val="18"/>
                <w:szCs w:val="18"/>
              </w:rPr>
            </w:pPr>
          </w:p>
          <w:p w14:paraId="01453339" w14:textId="77777777" w:rsidR="00922137" w:rsidRPr="009B0F1B" w:rsidRDefault="00922137" w:rsidP="00922137">
            <w:pPr>
              <w:jc w:val="center"/>
              <w:rPr>
                <w:sz w:val="18"/>
                <w:szCs w:val="18"/>
              </w:rPr>
            </w:pPr>
            <w:r>
              <w:rPr>
                <w:sz w:val="18"/>
                <w:szCs w:val="18"/>
              </w:rPr>
              <w:t>43</w:t>
            </w:r>
          </w:p>
        </w:tc>
        <w:tc>
          <w:tcPr>
            <w:tcW w:w="1011" w:type="dxa"/>
          </w:tcPr>
          <w:p w14:paraId="56CABFC9" w14:textId="77777777" w:rsidR="00922137" w:rsidRDefault="00922137" w:rsidP="00922137">
            <w:pPr>
              <w:jc w:val="center"/>
              <w:rPr>
                <w:sz w:val="18"/>
                <w:szCs w:val="18"/>
              </w:rPr>
            </w:pPr>
          </w:p>
          <w:p w14:paraId="3B2C770F" w14:textId="77777777" w:rsidR="00922137" w:rsidRPr="009B0F1B" w:rsidRDefault="00922137" w:rsidP="00922137">
            <w:pPr>
              <w:jc w:val="center"/>
              <w:rPr>
                <w:sz w:val="18"/>
                <w:szCs w:val="18"/>
              </w:rPr>
            </w:pPr>
            <w:r>
              <w:rPr>
                <w:sz w:val="18"/>
                <w:szCs w:val="18"/>
              </w:rPr>
              <w:t>30</w:t>
            </w:r>
          </w:p>
        </w:tc>
        <w:tc>
          <w:tcPr>
            <w:tcW w:w="1011" w:type="dxa"/>
          </w:tcPr>
          <w:p w14:paraId="33E0551D" w14:textId="77777777" w:rsidR="00922137" w:rsidRDefault="00922137" w:rsidP="00922137">
            <w:pPr>
              <w:jc w:val="center"/>
              <w:rPr>
                <w:sz w:val="18"/>
                <w:szCs w:val="18"/>
              </w:rPr>
            </w:pPr>
          </w:p>
          <w:p w14:paraId="402E0B22" w14:textId="77777777" w:rsidR="00922137" w:rsidRPr="009B0F1B" w:rsidRDefault="00922137" w:rsidP="00922137">
            <w:pPr>
              <w:jc w:val="center"/>
              <w:rPr>
                <w:sz w:val="18"/>
                <w:szCs w:val="18"/>
              </w:rPr>
            </w:pPr>
            <w:r>
              <w:rPr>
                <w:sz w:val="18"/>
                <w:szCs w:val="18"/>
              </w:rPr>
              <w:t>100</w:t>
            </w:r>
          </w:p>
        </w:tc>
        <w:tc>
          <w:tcPr>
            <w:tcW w:w="243" w:type="dxa"/>
          </w:tcPr>
          <w:p w14:paraId="416DE9C6" w14:textId="77777777" w:rsidR="00922137" w:rsidRDefault="00922137" w:rsidP="00922137">
            <w:pPr>
              <w:jc w:val="center"/>
              <w:rPr>
                <w:sz w:val="18"/>
                <w:szCs w:val="18"/>
              </w:rPr>
            </w:pPr>
          </w:p>
        </w:tc>
        <w:tc>
          <w:tcPr>
            <w:tcW w:w="743" w:type="dxa"/>
          </w:tcPr>
          <w:p w14:paraId="30AE2347" w14:textId="77777777" w:rsidR="00922137" w:rsidRPr="00922137" w:rsidRDefault="00922137" w:rsidP="00922137">
            <w:pPr>
              <w:jc w:val="center"/>
              <w:rPr>
                <w:i/>
                <w:sz w:val="18"/>
                <w:szCs w:val="18"/>
              </w:rPr>
            </w:pPr>
          </w:p>
          <w:p w14:paraId="238C262C" w14:textId="77777777" w:rsidR="00922137" w:rsidRPr="00922137" w:rsidRDefault="00922137" w:rsidP="00922137">
            <w:pPr>
              <w:jc w:val="center"/>
              <w:rPr>
                <w:i/>
                <w:sz w:val="18"/>
                <w:szCs w:val="18"/>
              </w:rPr>
            </w:pPr>
            <w:r w:rsidRPr="00922137">
              <w:rPr>
                <w:i/>
                <w:sz w:val="18"/>
                <w:szCs w:val="18"/>
              </w:rPr>
              <w:t>1396</w:t>
            </w:r>
          </w:p>
        </w:tc>
      </w:tr>
      <w:tr w:rsidR="00922137" w:rsidRPr="009B0F1B" w14:paraId="31AE30D1" w14:textId="77777777" w:rsidTr="00F2668B">
        <w:tc>
          <w:tcPr>
            <w:tcW w:w="2957" w:type="dxa"/>
          </w:tcPr>
          <w:p w14:paraId="0D8DA52D" w14:textId="77777777" w:rsidR="00922137" w:rsidRDefault="00922137" w:rsidP="00922137">
            <w:pPr>
              <w:rPr>
                <w:sz w:val="18"/>
                <w:szCs w:val="18"/>
              </w:rPr>
            </w:pPr>
          </w:p>
          <w:p w14:paraId="0E065BA2" w14:textId="77777777" w:rsidR="00922137" w:rsidRPr="009B0F1B" w:rsidRDefault="00922137" w:rsidP="00922137">
            <w:pPr>
              <w:rPr>
                <w:sz w:val="18"/>
                <w:szCs w:val="18"/>
              </w:rPr>
            </w:pPr>
            <w:r>
              <w:rPr>
                <w:sz w:val="18"/>
                <w:szCs w:val="18"/>
              </w:rPr>
              <w:t>Start in a job as long as formal training will be provided</w:t>
            </w:r>
            <w:r>
              <w:rPr>
                <w:sz w:val="18"/>
                <w:szCs w:val="18"/>
              </w:rPr>
              <w:br/>
            </w:r>
          </w:p>
        </w:tc>
        <w:tc>
          <w:tcPr>
            <w:tcW w:w="1010" w:type="dxa"/>
          </w:tcPr>
          <w:p w14:paraId="24F616BE" w14:textId="77777777" w:rsidR="00922137" w:rsidRDefault="00922137" w:rsidP="00922137">
            <w:pPr>
              <w:jc w:val="center"/>
              <w:rPr>
                <w:sz w:val="18"/>
                <w:szCs w:val="18"/>
              </w:rPr>
            </w:pPr>
          </w:p>
          <w:p w14:paraId="0FD3360B" w14:textId="77777777" w:rsidR="00922137" w:rsidRPr="009B0F1B" w:rsidRDefault="00922137" w:rsidP="00922137">
            <w:pPr>
              <w:jc w:val="center"/>
              <w:rPr>
                <w:sz w:val="18"/>
                <w:szCs w:val="18"/>
              </w:rPr>
            </w:pPr>
            <w:r>
              <w:rPr>
                <w:sz w:val="18"/>
                <w:szCs w:val="18"/>
              </w:rPr>
              <w:t>17</w:t>
            </w:r>
          </w:p>
        </w:tc>
        <w:tc>
          <w:tcPr>
            <w:tcW w:w="1011" w:type="dxa"/>
          </w:tcPr>
          <w:p w14:paraId="34CCEE42" w14:textId="77777777" w:rsidR="00922137" w:rsidRDefault="00922137" w:rsidP="00922137">
            <w:pPr>
              <w:jc w:val="center"/>
              <w:rPr>
                <w:sz w:val="18"/>
                <w:szCs w:val="18"/>
              </w:rPr>
            </w:pPr>
          </w:p>
          <w:p w14:paraId="34DD1E89" w14:textId="77777777" w:rsidR="00922137" w:rsidRPr="009B0F1B" w:rsidRDefault="00922137" w:rsidP="00922137">
            <w:pPr>
              <w:jc w:val="center"/>
              <w:rPr>
                <w:sz w:val="18"/>
                <w:szCs w:val="18"/>
              </w:rPr>
            </w:pPr>
            <w:r>
              <w:rPr>
                <w:sz w:val="18"/>
                <w:szCs w:val="18"/>
              </w:rPr>
              <w:t>44</w:t>
            </w:r>
          </w:p>
        </w:tc>
        <w:tc>
          <w:tcPr>
            <w:tcW w:w="1010" w:type="dxa"/>
          </w:tcPr>
          <w:p w14:paraId="21E94F54" w14:textId="77777777" w:rsidR="00922137" w:rsidRDefault="00922137" w:rsidP="00922137">
            <w:pPr>
              <w:jc w:val="center"/>
              <w:rPr>
                <w:sz w:val="18"/>
                <w:szCs w:val="18"/>
              </w:rPr>
            </w:pPr>
          </w:p>
          <w:p w14:paraId="0E951007" w14:textId="77777777" w:rsidR="00922137" w:rsidRPr="009B0F1B" w:rsidRDefault="00922137" w:rsidP="00922137">
            <w:pPr>
              <w:jc w:val="center"/>
              <w:rPr>
                <w:sz w:val="18"/>
                <w:szCs w:val="18"/>
              </w:rPr>
            </w:pPr>
            <w:r>
              <w:rPr>
                <w:sz w:val="18"/>
                <w:szCs w:val="18"/>
              </w:rPr>
              <w:t>26</w:t>
            </w:r>
          </w:p>
        </w:tc>
        <w:tc>
          <w:tcPr>
            <w:tcW w:w="1011" w:type="dxa"/>
          </w:tcPr>
          <w:p w14:paraId="07948D1A" w14:textId="77777777" w:rsidR="00922137" w:rsidRDefault="00922137" w:rsidP="00922137">
            <w:pPr>
              <w:jc w:val="center"/>
              <w:rPr>
                <w:sz w:val="18"/>
                <w:szCs w:val="18"/>
              </w:rPr>
            </w:pPr>
          </w:p>
          <w:p w14:paraId="68F5C688" w14:textId="77777777" w:rsidR="00922137" w:rsidRPr="009B0F1B" w:rsidRDefault="00922137" w:rsidP="00922137">
            <w:pPr>
              <w:jc w:val="center"/>
              <w:rPr>
                <w:sz w:val="18"/>
                <w:szCs w:val="18"/>
              </w:rPr>
            </w:pPr>
            <w:r>
              <w:rPr>
                <w:sz w:val="18"/>
                <w:szCs w:val="18"/>
              </w:rPr>
              <w:t>13</w:t>
            </w:r>
          </w:p>
        </w:tc>
        <w:tc>
          <w:tcPr>
            <w:tcW w:w="1011" w:type="dxa"/>
          </w:tcPr>
          <w:p w14:paraId="37CE3011" w14:textId="77777777" w:rsidR="00922137" w:rsidRDefault="00922137" w:rsidP="00922137">
            <w:pPr>
              <w:jc w:val="center"/>
              <w:rPr>
                <w:sz w:val="18"/>
                <w:szCs w:val="18"/>
              </w:rPr>
            </w:pPr>
          </w:p>
          <w:p w14:paraId="7C16BBC9" w14:textId="77777777" w:rsidR="00922137" w:rsidRPr="009B0F1B" w:rsidRDefault="00922137" w:rsidP="00922137">
            <w:pPr>
              <w:jc w:val="center"/>
              <w:rPr>
                <w:sz w:val="18"/>
                <w:szCs w:val="18"/>
              </w:rPr>
            </w:pPr>
            <w:r>
              <w:rPr>
                <w:sz w:val="18"/>
                <w:szCs w:val="18"/>
              </w:rPr>
              <w:t>100</w:t>
            </w:r>
          </w:p>
        </w:tc>
        <w:tc>
          <w:tcPr>
            <w:tcW w:w="243" w:type="dxa"/>
          </w:tcPr>
          <w:p w14:paraId="0F2F1664" w14:textId="77777777" w:rsidR="00922137" w:rsidRDefault="00922137" w:rsidP="00922137">
            <w:pPr>
              <w:jc w:val="center"/>
              <w:rPr>
                <w:sz w:val="18"/>
                <w:szCs w:val="18"/>
              </w:rPr>
            </w:pPr>
          </w:p>
        </w:tc>
        <w:tc>
          <w:tcPr>
            <w:tcW w:w="743" w:type="dxa"/>
          </w:tcPr>
          <w:p w14:paraId="1C7AC449" w14:textId="77777777" w:rsidR="00922137" w:rsidRPr="00922137" w:rsidRDefault="00922137" w:rsidP="00922137">
            <w:pPr>
              <w:jc w:val="center"/>
              <w:rPr>
                <w:i/>
                <w:sz w:val="18"/>
                <w:szCs w:val="18"/>
              </w:rPr>
            </w:pPr>
          </w:p>
          <w:p w14:paraId="2CC8E2B6" w14:textId="77777777" w:rsidR="00922137" w:rsidRPr="00922137" w:rsidRDefault="00922137" w:rsidP="00922137">
            <w:pPr>
              <w:jc w:val="center"/>
              <w:rPr>
                <w:i/>
                <w:sz w:val="18"/>
                <w:szCs w:val="18"/>
              </w:rPr>
            </w:pPr>
            <w:r w:rsidRPr="00922137">
              <w:rPr>
                <w:i/>
                <w:sz w:val="18"/>
                <w:szCs w:val="18"/>
              </w:rPr>
              <w:t>1399</w:t>
            </w:r>
          </w:p>
        </w:tc>
      </w:tr>
      <w:tr w:rsidR="00922137" w:rsidRPr="009B0F1B" w14:paraId="1D4E86F2" w14:textId="77777777" w:rsidTr="00F2668B">
        <w:tc>
          <w:tcPr>
            <w:tcW w:w="2957" w:type="dxa"/>
          </w:tcPr>
          <w:p w14:paraId="02938D75" w14:textId="77777777" w:rsidR="00922137" w:rsidRDefault="00922137" w:rsidP="00CE554D">
            <w:pPr>
              <w:rPr>
                <w:sz w:val="18"/>
                <w:szCs w:val="18"/>
              </w:rPr>
            </w:pPr>
          </w:p>
          <w:p w14:paraId="71A67893" w14:textId="77777777" w:rsidR="00922137" w:rsidRPr="009B0F1B" w:rsidRDefault="00922137" w:rsidP="00CE554D">
            <w:pPr>
              <w:rPr>
                <w:sz w:val="18"/>
                <w:szCs w:val="18"/>
              </w:rPr>
            </w:pPr>
            <w:r>
              <w:rPr>
                <w:sz w:val="18"/>
                <w:szCs w:val="18"/>
              </w:rPr>
              <w:t>Start an apprenticeship</w:t>
            </w:r>
            <w:r>
              <w:rPr>
                <w:sz w:val="18"/>
                <w:szCs w:val="18"/>
              </w:rPr>
              <w:br/>
            </w:r>
          </w:p>
        </w:tc>
        <w:tc>
          <w:tcPr>
            <w:tcW w:w="1010" w:type="dxa"/>
          </w:tcPr>
          <w:p w14:paraId="1A6C8CA7" w14:textId="77777777" w:rsidR="00922137" w:rsidRDefault="00922137" w:rsidP="00922137">
            <w:pPr>
              <w:jc w:val="center"/>
              <w:rPr>
                <w:sz w:val="18"/>
                <w:szCs w:val="18"/>
              </w:rPr>
            </w:pPr>
          </w:p>
          <w:p w14:paraId="515CA6C7" w14:textId="77777777" w:rsidR="00922137" w:rsidRPr="009B0F1B" w:rsidRDefault="00922137" w:rsidP="00922137">
            <w:pPr>
              <w:jc w:val="center"/>
              <w:rPr>
                <w:sz w:val="18"/>
                <w:szCs w:val="18"/>
              </w:rPr>
            </w:pPr>
            <w:r>
              <w:rPr>
                <w:sz w:val="18"/>
                <w:szCs w:val="18"/>
              </w:rPr>
              <w:t>12</w:t>
            </w:r>
          </w:p>
        </w:tc>
        <w:tc>
          <w:tcPr>
            <w:tcW w:w="1011" w:type="dxa"/>
          </w:tcPr>
          <w:p w14:paraId="6A76FE67" w14:textId="77777777" w:rsidR="00922137" w:rsidRDefault="00922137" w:rsidP="00922137">
            <w:pPr>
              <w:jc w:val="center"/>
              <w:rPr>
                <w:sz w:val="18"/>
                <w:szCs w:val="18"/>
              </w:rPr>
            </w:pPr>
          </w:p>
          <w:p w14:paraId="720A94A6" w14:textId="77777777" w:rsidR="00922137" w:rsidRPr="009B0F1B" w:rsidRDefault="00922137" w:rsidP="00922137">
            <w:pPr>
              <w:jc w:val="center"/>
              <w:rPr>
                <w:sz w:val="18"/>
                <w:szCs w:val="18"/>
              </w:rPr>
            </w:pPr>
            <w:r>
              <w:rPr>
                <w:sz w:val="18"/>
                <w:szCs w:val="18"/>
              </w:rPr>
              <w:t>31</w:t>
            </w:r>
          </w:p>
        </w:tc>
        <w:tc>
          <w:tcPr>
            <w:tcW w:w="1010" w:type="dxa"/>
          </w:tcPr>
          <w:p w14:paraId="1AF59F57" w14:textId="77777777" w:rsidR="00922137" w:rsidRDefault="00922137" w:rsidP="00922137">
            <w:pPr>
              <w:jc w:val="center"/>
              <w:rPr>
                <w:sz w:val="18"/>
                <w:szCs w:val="18"/>
              </w:rPr>
            </w:pPr>
          </w:p>
          <w:p w14:paraId="5BEE89F8" w14:textId="77777777" w:rsidR="00922137" w:rsidRPr="009B0F1B" w:rsidRDefault="00922137" w:rsidP="00922137">
            <w:pPr>
              <w:jc w:val="center"/>
              <w:rPr>
                <w:sz w:val="18"/>
                <w:szCs w:val="18"/>
              </w:rPr>
            </w:pPr>
            <w:r>
              <w:rPr>
                <w:sz w:val="18"/>
                <w:szCs w:val="18"/>
              </w:rPr>
              <w:t>35</w:t>
            </w:r>
          </w:p>
        </w:tc>
        <w:tc>
          <w:tcPr>
            <w:tcW w:w="1011" w:type="dxa"/>
          </w:tcPr>
          <w:p w14:paraId="692FE63A" w14:textId="77777777" w:rsidR="00922137" w:rsidRDefault="00922137" w:rsidP="00922137">
            <w:pPr>
              <w:jc w:val="center"/>
              <w:rPr>
                <w:sz w:val="18"/>
                <w:szCs w:val="18"/>
              </w:rPr>
            </w:pPr>
          </w:p>
          <w:p w14:paraId="6DA037ED" w14:textId="77777777" w:rsidR="00922137" w:rsidRPr="009B0F1B" w:rsidRDefault="00922137" w:rsidP="00922137">
            <w:pPr>
              <w:jc w:val="center"/>
              <w:rPr>
                <w:sz w:val="18"/>
                <w:szCs w:val="18"/>
              </w:rPr>
            </w:pPr>
            <w:r>
              <w:rPr>
                <w:sz w:val="18"/>
                <w:szCs w:val="18"/>
              </w:rPr>
              <w:t>23</w:t>
            </w:r>
          </w:p>
        </w:tc>
        <w:tc>
          <w:tcPr>
            <w:tcW w:w="1011" w:type="dxa"/>
          </w:tcPr>
          <w:p w14:paraId="368E7EC7" w14:textId="77777777" w:rsidR="00922137" w:rsidRDefault="00922137" w:rsidP="00922137">
            <w:pPr>
              <w:jc w:val="center"/>
              <w:rPr>
                <w:sz w:val="18"/>
                <w:szCs w:val="18"/>
              </w:rPr>
            </w:pPr>
          </w:p>
          <w:p w14:paraId="13A25F8E" w14:textId="77777777" w:rsidR="00922137" w:rsidRPr="009B0F1B" w:rsidRDefault="00922137" w:rsidP="00922137">
            <w:pPr>
              <w:jc w:val="center"/>
              <w:rPr>
                <w:sz w:val="18"/>
                <w:szCs w:val="18"/>
              </w:rPr>
            </w:pPr>
            <w:r>
              <w:rPr>
                <w:sz w:val="18"/>
                <w:szCs w:val="18"/>
              </w:rPr>
              <w:t>100</w:t>
            </w:r>
          </w:p>
        </w:tc>
        <w:tc>
          <w:tcPr>
            <w:tcW w:w="243" w:type="dxa"/>
          </w:tcPr>
          <w:p w14:paraId="57387418" w14:textId="77777777" w:rsidR="00922137" w:rsidRDefault="00922137" w:rsidP="00922137">
            <w:pPr>
              <w:jc w:val="center"/>
              <w:rPr>
                <w:sz w:val="18"/>
                <w:szCs w:val="18"/>
              </w:rPr>
            </w:pPr>
          </w:p>
        </w:tc>
        <w:tc>
          <w:tcPr>
            <w:tcW w:w="743" w:type="dxa"/>
          </w:tcPr>
          <w:p w14:paraId="2BCAAEB0" w14:textId="77777777" w:rsidR="00922137" w:rsidRPr="00922137" w:rsidRDefault="00922137" w:rsidP="00922137">
            <w:pPr>
              <w:jc w:val="center"/>
              <w:rPr>
                <w:i/>
                <w:sz w:val="18"/>
                <w:szCs w:val="18"/>
              </w:rPr>
            </w:pPr>
          </w:p>
          <w:p w14:paraId="199C53FB" w14:textId="77777777" w:rsidR="00922137" w:rsidRPr="00922137" w:rsidRDefault="00922137" w:rsidP="00922137">
            <w:pPr>
              <w:jc w:val="center"/>
              <w:rPr>
                <w:i/>
                <w:sz w:val="18"/>
                <w:szCs w:val="18"/>
              </w:rPr>
            </w:pPr>
            <w:r w:rsidRPr="00922137">
              <w:rPr>
                <w:i/>
                <w:sz w:val="18"/>
                <w:szCs w:val="18"/>
              </w:rPr>
              <w:t>1391</w:t>
            </w:r>
          </w:p>
        </w:tc>
      </w:tr>
      <w:tr w:rsidR="00922137" w:rsidRPr="009B0F1B" w14:paraId="4D1D8E59" w14:textId="77777777" w:rsidTr="00F2668B">
        <w:tc>
          <w:tcPr>
            <w:tcW w:w="2957" w:type="dxa"/>
          </w:tcPr>
          <w:p w14:paraId="689BC5AF" w14:textId="77777777" w:rsidR="00922137" w:rsidRDefault="00922137" w:rsidP="00CE554D">
            <w:pPr>
              <w:rPr>
                <w:sz w:val="18"/>
                <w:szCs w:val="18"/>
              </w:rPr>
            </w:pPr>
          </w:p>
          <w:p w14:paraId="3AFBA743" w14:textId="77777777" w:rsidR="00922137" w:rsidRPr="009B0F1B" w:rsidRDefault="00922137" w:rsidP="00CE554D">
            <w:pPr>
              <w:rPr>
                <w:sz w:val="18"/>
                <w:szCs w:val="18"/>
              </w:rPr>
            </w:pPr>
            <w:r>
              <w:rPr>
                <w:sz w:val="18"/>
                <w:szCs w:val="18"/>
              </w:rPr>
              <w:t>Start an apprenticeship as long as it looks likely to provide an opportunity to go on to higher education later</w:t>
            </w:r>
            <w:r>
              <w:rPr>
                <w:sz w:val="18"/>
                <w:szCs w:val="18"/>
              </w:rPr>
              <w:br/>
            </w:r>
          </w:p>
        </w:tc>
        <w:tc>
          <w:tcPr>
            <w:tcW w:w="1010" w:type="dxa"/>
          </w:tcPr>
          <w:p w14:paraId="634C8343" w14:textId="77777777" w:rsidR="00922137" w:rsidRDefault="00922137" w:rsidP="00922137">
            <w:pPr>
              <w:jc w:val="center"/>
              <w:rPr>
                <w:sz w:val="18"/>
                <w:szCs w:val="18"/>
              </w:rPr>
            </w:pPr>
          </w:p>
          <w:p w14:paraId="09549DF3" w14:textId="77777777" w:rsidR="00922137" w:rsidRPr="009B0F1B" w:rsidRDefault="00922137" w:rsidP="00922137">
            <w:pPr>
              <w:jc w:val="center"/>
              <w:rPr>
                <w:sz w:val="18"/>
                <w:szCs w:val="18"/>
              </w:rPr>
            </w:pPr>
            <w:r>
              <w:rPr>
                <w:sz w:val="18"/>
                <w:szCs w:val="18"/>
              </w:rPr>
              <w:t>18</w:t>
            </w:r>
          </w:p>
        </w:tc>
        <w:tc>
          <w:tcPr>
            <w:tcW w:w="1011" w:type="dxa"/>
          </w:tcPr>
          <w:p w14:paraId="0E3C2961" w14:textId="77777777" w:rsidR="00922137" w:rsidRDefault="00922137" w:rsidP="00922137">
            <w:pPr>
              <w:jc w:val="center"/>
              <w:rPr>
                <w:sz w:val="18"/>
                <w:szCs w:val="18"/>
              </w:rPr>
            </w:pPr>
          </w:p>
          <w:p w14:paraId="350C2742" w14:textId="77777777" w:rsidR="00922137" w:rsidRPr="009B0F1B" w:rsidRDefault="00922137" w:rsidP="00922137">
            <w:pPr>
              <w:jc w:val="center"/>
              <w:rPr>
                <w:sz w:val="18"/>
                <w:szCs w:val="18"/>
              </w:rPr>
            </w:pPr>
            <w:r>
              <w:rPr>
                <w:sz w:val="18"/>
                <w:szCs w:val="18"/>
              </w:rPr>
              <w:t>38</w:t>
            </w:r>
          </w:p>
        </w:tc>
        <w:tc>
          <w:tcPr>
            <w:tcW w:w="1010" w:type="dxa"/>
          </w:tcPr>
          <w:p w14:paraId="2E4AF195" w14:textId="77777777" w:rsidR="00922137" w:rsidRDefault="00922137" w:rsidP="00922137">
            <w:pPr>
              <w:jc w:val="center"/>
              <w:rPr>
                <w:sz w:val="18"/>
                <w:szCs w:val="18"/>
              </w:rPr>
            </w:pPr>
          </w:p>
          <w:p w14:paraId="0C22BC78" w14:textId="77777777" w:rsidR="00922137" w:rsidRPr="009B0F1B" w:rsidRDefault="00922137" w:rsidP="00922137">
            <w:pPr>
              <w:jc w:val="center"/>
              <w:rPr>
                <w:sz w:val="18"/>
                <w:szCs w:val="18"/>
              </w:rPr>
            </w:pPr>
            <w:r>
              <w:rPr>
                <w:sz w:val="18"/>
                <w:szCs w:val="18"/>
              </w:rPr>
              <w:t>29</w:t>
            </w:r>
          </w:p>
        </w:tc>
        <w:tc>
          <w:tcPr>
            <w:tcW w:w="1011" w:type="dxa"/>
          </w:tcPr>
          <w:p w14:paraId="2BA50B2E" w14:textId="77777777" w:rsidR="00922137" w:rsidRDefault="00922137" w:rsidP="00922137">
            <w:pPr>
              <w:jc w:val="center"/>
              <w:rPr>
                <w:sz w:val="18"/>
                <w:szCs w:val="18"/>
              </w:rPr>
            </w:pPr>
          </w:p>
          <w:p w14:paraId="75AAB767" w14:textId="77777777" w:rsidR="00922137" w:rsidRPr="009B0F1B" w:rsidRDefault="00922137" w:rsidP="00922137">
            <w:pPr>
              <w:jc w:val="center"/>
              <w:rPr>
                <w:sz w:val="18"/>
                <w:szCs w:val="18"/>
              </w:rPr>
            </w:pPr>
            <w:r>
              <w:rPr>
                <w:sz w:val="18"/>
                <w:szCs w:val="18"/>
              </w:rPr>
              <w:t>16</w:t>
            </w:r>
          </w:p>
        </w:tc>
        <w:tc>
          <w:tcPr>
            <w:tcW w:w="1011" w:type="dxa"/>
          </w:tcPr>
          <w:p w14:paraId="314AE680" w14:textId="77777777" w:rsidR="00922137" w:rsidRDefault="00922137" w:rsidP="00922137">
            <w:pPr>
              <w:jc w:val="center"/>
              <w:rPr>
                <w:sz w:val="18"/>
                <w:szCs w:val="18"/>
              </w:rPr>
            </w:pPr>
          </w:p>
          <w:p w14:paraId="21798E8C" w14:textId="77777777" w:rsidR="00922137" w:rsidRPr="009B0F1B" w:rsidRDefault="00922137" w:rsidP="00922137">
            <w:pPr>
              <w:jc w:val="center"/>
              <w:rPr>
                <w:sz w:val="18"/>
                <w:szCs w:val="18"/>
              </w:rPr>
            </w:pPr>
            <w:r>
              <w:rPr>
                <w:sz w:val="18"/>
                <w:szCs w:val="18"/>
              </w:rPr>
              <w:t>100</w:t>
            </w:r>
          </w:p>
        </w:tc>
        <w:tc>
          <w:tcPr>
            <w:tcW w:w="243" w:type="dxa"/>
          </w:tcPr>
          <w:p w14:paraId="4F5E66BA" w14:textId="77777777" w:rsidR="00922137" w:rsidRDefault="00922137" w:rsidP="00922137">
            <w:pPr>
              <w:jc w:val="center"/>
              <w:rPr>
                <w:sz w:val="18"/>
                <w:szCs w:val="18"/>
              </w:rPr>
            </w:pPr>
          </w:p>
        </w:tc>
        <w:tc>
          <w:tcPr>
            <w:tcW w:w="743" w:type="dxa"/>
          </w:tcPr>
          <w:p w14:paraId="7397CD8D" w14:textId="77777777" w:rsidR="00922137" w:rsidRPr="00922137" w:rsidRDefault="00922137" w:rsidP="00922137">
            <w:pPr>
              <w:jc w:val="center"/>
              <w:rPr>
                <w:i/>
                <w:sz w:val="18"/>
                <w:szCs w:val="18"/>
              </w:rPr>
            </w:pPr>
          </w:p>
          <w:p w14:paraId="21B58E37" w14:textId="77777777" w:rsidR="00922137" w:rsidRPr="00922137" w:rsidRDefault="00922137" w:rsidP="00922137">
            <w:pPr>
              <w:jc w:val="center"/>
              <w:rPr>
                <w:i/>
                <w:sz w:val="18"/>
                <w:szCs w:val="18"/>
              </w:rPr>
            </w:pPr>
            <w:r w:rsidRPr="00922137">
              <w:rPr>
                <w:i/>
                <w:sz w:val="18"/>
                <w:szCs w:val="18"/>
              </w:rPr>
              <w:t>1376</w:t>
            </w:r>
          </w:p>
        </w:tc>
      </w:tr>
    </w:tbl>
    <w:p w14:paraId="01EAD948" w14:textId="77777777" w:rsidR="00922137" w:rsidRDefault="00922137" w:rsidP="00922137">
      <w:pPr>
        <w:spacing w:after="0"/>
        <w:rPr>
          <w:rFonts w:cstheme="minorHAnsi"/>
          <w:sz w:val="18"/>
          <w:szCs w:val="18"/>
        </w:rPr>
      </w:pPr>
    </w:p>
    <w:p w14:paraId="299E56AE" w14:textId="704925EF" w:rsidR="009B0F1B" w:rsidRDefault="00922137" w:rsidP="00922137">
      <w:pPr>
        <w:spacing w:after="0"/>
        <w:rPr>
          <w:rFonts w:cstheme="minorHAnsi"/>
          <w:sz w:val="18"/>
          <w:szCs w:val="18"/>
        </w:rPr>
      </w:pPr>
      <w:r w:rsidRPr="00922137">
        <w:rPr>
          <w:rFonts w:cstheme="minorHAnsi"/>
          <w:sz w:val="18"/>
          <w:szCs w:val="18"/>
        </w:rPr>
        <w:t>Source:</w:t>
      </w:r>
      <w:r w:rsidR="001540C5">
        <w:rPr>
          <w:rFonts w:cstheme="minorHAnsi"/>
          <w:sz w:val="18"/>
          <w:szCs w:val="18"/>
        </w:rPr>
        <w:t xml:space="preserve">  F</w:t>
      </w:r>
      <w:r>
        <w:rPr>
          <w:rFonts w:cstheme="minorHAnsi"/>
          <w:sz w:val="18"/>
          <w:szCs w:val="18"/>
        </w:rPr>
        <w:t xml:space="preserve">urther analysis of 2015 Student Survey dataset described in </w:t>
      </w:r>
      <w:proofErr w:type="spellStart"/>
      <w:r>
        <w:rPr>
          <w:rFonts w:cstheme="minorHAnsi"/>
          <w:sz w:val="18"/>
          <w:szCs w:val="18"/>
        </w:rPr>
        <w:t>Call</w:t>
      </w:r>
      <w:r w:rsidR="00B61CDA">
        <w:rPr>
          <w:rFonts w:cstheme="minorHAnsi"/>
          <w:sz w:val="18"/>
          <w:szCs w:val="18"/>
        </w:rPr>
        <w:t>ander</w:t>
      </w:r>
      <w:proofErr w:type="spellEnd"/>
      <w:r w:rsidR="00B61CDA">
        <w:rPr>
          <w:rFonts w:cstheme="minorHAnsi"/>
          <w:sz w:val="18"/>
          <w:szCs w:val="18"/>
        </w:rPr>
        <w:t xml:space="preserve"> and Mason (2018</w:t>
      </w:r>
      <w:r>
        <w:rPr>
          <w:rFonts w:cstheme="minorHAnsi"/>
          <w:sz w:val="18"/>
          <w:szCs w:val="18"/>
        </w:rPr>
        <w:t>).</w:t>
      </w:r>
    </w:p>
    <w:p w14:paraId="3A701B8B" w14:textId="77777777" w:rsidR="00922137" w:rsidRDefault="00922137" w:rsidP="00922137">
      <w:pPr>
        <w:spacing w:after="0"/>
      </w:pPr>
    </w:p>
    <w:p w14:paraId="79DD752A" w14:textId="65580BFE" w:rsidR="00087B49" w:rsidRDefault="00087B49" w:rsidP="00CE554D">
      <w:r>
        <w:t xml:space="preserve">Creating a vocational professional track in upper secondary education in Victoria is a significant disruptor to current arrangements. </w:t>
      </w:r>
      <w:r w:rsidR="00A15847">
        <w:t>Currently, h</w:t>
      </w:r>
      <w:r>
        <w:t xml:space="preserve">owever, students who </w:t>
      </w:r>
      <w:r w:rsidR="00CD19FC">
        <w:t>do not</w:t>
      </w:r>
      <w:r>
        <w:t xml:space="preserve"> go to </w:t>
      </w:r>
      <w:r w:rsidR="00CD19FC">
        <w:t>u</w:t>
      </w:r>
      <w:r>
        <w:t xml:space="preserve">niversity are </w:t>
      </w:r>
      <w:r w:rsidR="00044FCD">
        <w:t xml:space="preserve">being steered </w:t>
      </w:r>
      <w:r>
        <w:t>either in</w:t>
      </w:r>
      <w:r w:rsidR="00CD19FC">
        <w:t>to</w:t>
      </w:r>
      <w:r>
        <w:t xml:space="preserve"> narrowly focused and stable jobs or </w:t>
      </w:r>
      <w:r w:rsidR="00A15847">
        <w:t>being sent b</w:t>
      </w:r>
      <w:r>
        <w:t xml:space="preserve">ackwards educationally. </w:t>
      </w:r>
    </w:p>
    <w:p w14:paraId="3FE4CC03" w14:textId="44041D2B" w:rsidR="00087B49" w:rsidRDefault="00087B49" w:rsidP="00CE554D">
      <w:r>
        <w:t>Victoria has been at the forefront</w:t>
      </w:r>
      <w:r w:rsidR="0074463C">
        <w:t xml:space="preserve"> of </w:t>
      </w:r>
      <w:r>
        <w:t>experiment</w:t>
      </w:r>
      <w:r w:rsidR="0074463C">
        <w:t>ing</w:t>
      </w:r>
      <w:r>
        <w:t xml:space="preserve"> with broadening year 11 and 12 curricular and </w:t>
      </w:r>
      <w:r w:rsidR="00044FCD">
        <w:t xml:space="preserve">introducing </w:t>
      </w:r>
      <w:r>
        <w:t>vocational options. The outcomes appear to be less than optimal.</w:t>
      </w:r>
      <w:r w:rsidR="00CD19FC">
        <w:t xml:space="preserve"> </w:t>
      </w:r>
      <w:r w:rsidR="00044FCD">
        <w:t>As y</w:t>
      </w:r>
      <w:r>
        <w:t>oung people will be hardest hit by any recession</w:t>
      </w:r>
      <w:r w:rsidR="00044FCD">
        <w:t>,</w:t>
      </w:r>
      <w:r>
        <w:t xml:space="preserve"> they need to be given the greatest opportunity.</w:t>
      </w:r>
      <w:r w:rsidR="001C5FAF">
        <w:t xml:space="preserve"> A </w:t>
      </w:r>
      <w:r w:rsidR="00044FCD">
        <w:t xml:space="preserve">high-quality </w:t>
      </w:r>
      <w:r w:rsidR="001C5FAF">
        <w:t xml:space="preserve">vocational track has to be a better </w:t>
      </w:r>
      <w:r w:rsidR="001C5FAF" w:rsidRPr="00594D25">
        <w:t>option than the current la</w:t>
      </w:r>
      <w:r w:rsidR="00594D25" w:rsidRPr="00594D25">
        <w:t>i</w:t>
      </w:r>
      <w:r w:rsidR="001C5FAF" w:rsidRPr="00594D25">
        <w:t>sse</w:t>
      </w:r>
      <w:r w:rsidR="00594D25" w:rsidRPr="00594D25">
        <w:t>z-</w:t>
      </w:r>
      <w:r w:rsidR="001C5FAF" w:rsidRPr="00594D25">
        <w:t>faire arrangement.</w:t>
      </w:r>
    </w:p>
    <w:p w14:paraId="63FAD19B" w14:textId="77777777" w:rsidR="00037FB2" w:rsidRDefault="00037FB2" w:rsidP="00037FB2">
      <w:pPr>
        <w:spacing w:after="0"/>
      </w:pPr>
      <w:r>
        <w:t xml:space="preserve">High quality vocational education has to be conducted in organisations that prioritise applied learning, offer a scale and breadth in terms of courses and students, and have strong industry links. The vocational track would be best offered in, and </w:t>
      </w:r>
      <w:proofErr w:type="spellStart"/>
      <w:r>
        <w:t>auspiced</w:t>
      </w:r>
      <w:proofErr w:type="spellEnd"/>
      <w:r>
        <w:t xml:space="preserve"> by, Victoria’s TAFE institutes.</w:t>
      </w:r>
    </w:p>
    <w:p w14:paraId="745FC48A" w14:textId="77777777" w:rsidR="00037FB2" w:rsidRPr="00037FB2" w:rsidRDefault="00037FB2" w:rsidP="00594D25">
      <w:pPr>
        <w:pStyle w:val="Heading2"/>
        <w:spacing w:before="0"/>
        <w:rPr>
          <w:rFonts w:asciiTheme="minorHAnsi" w:hAnsiTheme="minorHAnsi" w:cstheme="minorHAnsi"/>
          <w:b/>
          <w:color w:val="1F497D" w:themeColor="text2"/>
          <w:sz w:val="22"/>
          <w:szCs w:val="22"/>
        </w:rPr>
      </w:pPr>
    </w:p>
    <w:p w14:paraId="47735D64" w14:textId="434620A9" w:rsidR="00087B49" w:rsidRDefault="00087B49" w:rsidP="00594D25">
      <w:pPr>
        <w:pStyle w:val="Heading2"/>
        <w:spacing w:before="0"/>
        <w:rPr>
          <w:rFonts w:asciiTheme="minorHAnsi" w:hAnsiTheme="minorHAnsi" w:cstheme="minorHAnsi"/>
          <w:b/>
          <w:color w:val="1F497D" w:themeColor="text2"/>
          <w:sz w:val="28"/>
          <w:szCs w:val="28"/>
        </w:rPr>
      </w:pPr>
      <w:bookmarkStart w:id="11" w:name="_Toc43128845"/>
      <w:r w:rsidRPr="00594D25">
        <w:rPr>
          <w:rFonts w:asciiTheme="minorHAnsi" w:hAnsiTheme="minorHAnsi" w:cstheme="minorHAnsi"/>
          <w:b/>
          <w:color w:val="1F497D" w:themeColor="text2"/>
          <w:sz w:val="28"/>
          <w:szCs w:val="28"/>
        </w:rPr>
        <w:t xml:space="preserve">Strengthening </w:t>
      </w:r>
      <w:r w:rsidR="00CD19FC" w:rsidRPr="00594D25">
        <w:rPr>
          <w:rFonts w:asciiTheme="minorHAnsi" w:hAnsiTheme="minorHAnsi" w:cstheme="minorHAnsi"/>
          <w:b/>
          <w:color w:val="1F497D" w:themeColor="text2"/>
          <w:sz w:val="28"/>
          <w:szCs w:val="28"/>
        </w:rPr>
        <w:t>a higher intermediate track</w:t>
      </w:r>
      <w:bookmarkEnd w:id="11"/>
    </w:p>
    <w:p w14:paraId="2FD2980D" w14:textId="77777777" w:rsidR="00594D25" w:rsidRPr="00594D25" w:rsidRDefault="00594D25" w:rsidP="00594D25">
      <w:pPr>
        <w:spacing w:after="0"/>
      </w:pPr>
    </w:p>
    <w:p w14:paraId="3D1FF294" w14:textId="764F1CCB" w:rsidR="00087B49" w:rsidRDefault="00087B49" w:rsidP="00594D25">
      <w:pPr>
        <w:spacing w:after="0"/>
      </w:pPr>
      <w:r>
        <w:t>In Victoria</w:t>
      </w:r>
      <w:r w:rsidR="00CD19FC">
        <w:t xml:space="preserve"> </w:t>
      </w:r>
      <w:r>
        <w:t>a type of higher intermediate track has been developed</w:t>
      </w:r>
      <w:r w:rsidR="0018479A">
        <w:t>, which offers</w:t>
      </w:r>
      <w:r>
        <w:t xml:space="preserve"> courses at </w:t>
      </w:r>
      <w:r w:rsidR="00A15847">
        <w:t xml:space="preserve">the </w:t>
      </w:r>
      <w:r w:rsidR="00CD19FC">
        <w:t>C</w:t>
      </w:r>
      <w:r>
        <w:t xml:space="preserve">ertificate </w:t>
      </w:r>
      <w:r w:rsidR="00CD19FC">
        <w:t>IV</w:t>
      </w:r>
      <w:r>
        <w:t xml:space="preserve"> level. </w:t>
      </w:r>
      <w:r w:rsidR="0018479A">
        <w:t>The mix of s</w:t>
      </w:r>
      <w:r>
        <w:t>tudent</w:t>
      </w:r>
      <w:r w:rsidR="0018479A">
        <w:t xml:space="preserve">s varies </w:t>
      </w:r>
      <w:r>
        <w:t>from year 12 completers and non-completers to adults</w:t>
      </w:r>
      <w:r w:rsidR="0018479A">
        <w:t xml:space="preserve"> already</w:t>
      </w:r>
      <w:r>
        <w:t xml:space="preserve"> in the workforce who are upgrading their skills</w:t>
      </w:r>
      <w:r w:rsidR="0018479A">
        <w:t xml:space="preserve"> due to </w:t>
      </w:r>
      <w:r>
        <w:t>shifts in the</w:t>
      </w:r>
      <w:r w:rsidR="00CD19FC">
        <w:t>ir occupational responsibility.</w:t>
      </w:r>
    </w:p>
    <w:p w14:paraId="0DA9F907" w14:textId="06E80C93" w:rsidR="00087B49" w:rsidRDefault="0018479A" w:rsidP="00CE554D">
      <w:r>
        <w:t xml:space="preserve">This intermediate track </w:t>
      </w:r>
      <w:r w:rsidR="00087B49">
        <w:t>is a vital component of vocational education, both in terms of its attractiveness to the workforce and to industry</w:t>
      </w:r>
      <w:r w:rsidR="00CD19FC">
        <w:t>,</w:t>
      </w:r>
      <w:r w:rsidR="00087B49">
        <w:t xml:space="preserve"> and in providing a seamless pathway of learning from lower intermediate to higher level studies.</w:t>
      </w:r>
    </w:p>
    <w:p w14:paraId="4CC32C2D" w14:textId="6B70DA96" w:rsidR="00087B49" w:rsidRDefault="00087B49" w:rsidP="00CE554D">
      <w:r>
        <w:lastRenderedPageBreak/>
        <w:t xml:space="preserve">In recent years, the </w:t>
      </w:r>
      <w:r w:rsidR="0018479A">
        <w:t xml:space="preserve">number of students enrolling in the </w:t>
      </w:r>
      <w:r>
        <w:t xml:space="preserve">higher intermediate track has </w:t>
      </w:r>
      <w:r w:rsidR="0018479A">
        <w:t xml:space="preserve">declined markedly, </w:t>
      </w:r>
      <w:r w:rsidR="00675308">
        <w:t>with</w:t>
      </w:r>
      <w:r w:rsidR="00CD19FC">
        <w:t xml:space="preserve"> </w:t>
      </w:r>
      <w:r w:rsidR="00675308">
        <w:t>d</w:t>
      </w:r>
      <w:r>
        <w:t>iplomas recording the largest fall in VET offerings</w:t>
      </w:r>
      <w:r w:rsidR="00F4514C">
        <w:t xml:space="preserve"> (Table 12</w:t>
      </w:r>
      <w:r w:rsidR="00675308">
        <w:t>)</w:t>
      </w:r>
      <w:r>
        <w:t xml:space="preserve">. </w:t>
      </w:r>
      <w:r w:rsidR="0018479A">
        <w:t xml:space="preserve">The </w:t>
      </w:r>
      <w:r>
        <w:t>reasons for the decline includ</w:t>
      </w:r>
      <w:r w:rsidR="0018479A">
        <w:t>e</w:t>
      </w:r>
      <w:r>
        <w:t>:</w:t>
      </w:r>
    </w:p>
    <w:p w14:paraId="7682A1BF" w14:textId="353F7AAE" w:rsidR="00087B49" w:rsidRPr="001540C5" w:rsidRDefault="00872129" w:rsidP="00CE554D">
      <w:pPr>
        <w:pStyle w:val="ListParagraph"/>
        <w:numPr>
          <w:ilvl w:val="0"/>
          <w:numId w:val="15"/>
        </w:numPr>
        <w:ind w:left="720"/>
      </w:pPr>
      <w:r w:rsidRPr="001540C5">
        <w:t>d</w:t>
      </w:r>
      <w:r w:rsidR="00087B49" w:rsidRPr="001540C5">
        <w:t xml:space="preserve">istorted enrolment patterns caused by </w:t>
      </w:r>
      <w:r w:rsidR="001540C5">
        <w:t xml:space="preserve">over enrolments related to the </w:t>
      </w:r>
      <w:r w:rsidR="00675308" w:rsidRPr="001540C5">
        <w:t xml:space="preserve">VET FEE-HELP </w:t>
      </w:r>
      <w:r w:rsidR="001540C5">
        <w:t>scandal</w:t>
      </w:r>
      <w:r w:rsidR="001472FA" w:rsidRPr="001540C5">
        <w:t xml:space="preserve">; </w:t>
      </w:r>
      <w:r w:rsidR="00675308" w:rsidRPr="001540C5">
        <w:br/>
      </w:r>
    </w:p>
    <w:p w14:paraId="0C840FB4" w14:textId="166C59EA" w:rsidR="00087B49" w:rsidRPr="001540C5" w:rsidRDefault="00675308" w:rsidP="006C68EC">
      <w:pPr>
        <w:pStyle w:val="ListParagraph"/>
        <w:numPr>
          <w:ilvl w:val="0"/>
          <w:numId w:val="15"/>
        </w:numPr>
        <w:ind w:left="720"/>
      </w:pPr>
      <w:r>
        <w:t>the impact of a demand-</w:t>
      </w:r>
      <w:r w:rsidR="00087B49">
        <w:t>driven system available only to universities</w:t>
      </w:r>
      <w:r w:rsidR="0018479A">
        <w:t xml:space="preserve">, which led to lower </w:t>
      </w:r>
      <w:r w:rsidR="00087B49">
        <w:t>entry-level requirements for undergraduate courses</w:t>
      </w:r>
      <w:r w:rsidR="0018479A">
        <w:t>. S</w:t>
      </w:r>
      <w:r w:rsidR="00087B49">
        <w:t xml:space="preserve">tudents who would normally </w:t>
      </w:r>
      <w:r w:rsidR="0018479A">
        <w:t xml:space="preserve">have </w:t>
      </w:r>
      <w:r w:rsidR="00087B49" w:rsidRPr="001540C5">
        <w:t xml:space="preserve">gone into </w:t>
      </w:r>
      <w:r w:rsidR="0018479A" w:rsidRPr="001540C5">
        <w:t xml:space="preserve">the </w:t>
      </w:r>
      <w:r w:rsidR="00087B49" w:rsidRPr="001540C5">
        <w:t>VET</w:t>
      </w:r>
      <w:r w:rsidR="0018479A" w:rsidRPr="001540C5">
        <w:t xml:space="preserve"> system were encouraged into the university system. This was exacerbated by a VET system that is very difficult to navigate;</w:t>
      </w:r>
      <w:r w:rsidRPr="001540C5">
        <w:br/>
      </w:r>
    </w:p>
    <w:p w14:paraId="415B34D9" w14:textId="148127B3" w:rsidR="00087B49" w:rsidRPr="001540C5" w:rsidRDefault="00DC3FC9" w:rsidP="001540C5">
      <w:pPr>
        <w:pStyle w:val="ListParagraph"/>
        <w:numPr>
          <w:ilvl w:val="0"/>
          <w:numId w:val="18"/>
        </w:numPr>
      </w:pPr>
      <w:r w:rsidRPr="001540C5">
        <w:t>t</w:t>
      </w:r>
      <w:r w:rsidR="00087B49" w:rsidRPr="001540C5">
        <w:t xml:space="preserve">he </w:t>
      </w:r>
      <w:r w:rsidR="001540C5" w:rsidRPr="001540C5">
        <w:t>terminal</w:t>
      </w:r>
      <w:r w:rsidR="00A15847" w:rsidRPr="001540C5">
        <w:t xml:space="preserve"> </w:t>
      </w:r>
      <w:r w:rsidR="00087B49" w:rsidRPr="001540C5">
        <w:t>nature of diplomas</w:t>
      </w:r>
      <w:r w:rsidR="00675308" w:rsidRPr="001540C5">
        <w:t>,</w:t>
      </w:r>
      <w:r w:rsidR="00087B49" w:rsidRPr="001540C5">
        <w:t xml:space="preserve"> in particular in regard to the eas</w:t>
      </w:r>
      <w:r w:rsidR="001540C5">
        <w:t>e of access to higher education</w:t>
      </w:r>
      <w:r w:rsidR="00087B49" w:rsidRPr="001540C5">
        <w:t xml:space="preserve"> with credit caused in part by </w:t>
      </w:r>
      <w:r w:rsidR="00675308" w:rsidRPr="001540C5">
        <w:t>u</w:t>
      </w:r>
      <w:r w:rsidR="00087B49" w:rsidRPr="001540C5">
        <w:t>niversity entrance requirements</w:t>
      </w:r>
      <w:r w:rsidR="001540C5">
        <w:t>,</w:t>
      </w:r>
      <w:r w:rsidR="00087B49" w:rsidRPr="001540C5">
        <w:t xml:space="preserve"> and the narrowness of </w:t>
      </w:r>
      <w:r w:rsidR="00675308" w:rsidRPr="001540C5">
        <w:t>a competency-based curriculum;</w:t>
      </w:r>
      <w:r w:rsidR="00675308" w:rsidRPr="001540C5">
        <w:br/>
      </w:r>
    </w:p>
    <w:p w14:paraId="6307351B" w14:textId="77777777" w:rsidR="00087B49" w:rsidRDefault="00087B49" w:rsidP="00CE554D">
      <w:pPr>
        <w:pStyle w:val="ListParagraph"/>
        <w:numPr>
          <w:ilvl w:val="0"/>
          <w:numId w:val="15"/>
        </w:numPr>
        <w:ind w:left="720"/>
      </w:pPr>
      <w:r w:rsidRPr="001540C5">
        <w:t>an oversupply of graduates that led some to undertake employment in areas that would have once been occupied by VET graduates, especially in t</w:t>
      </w:r>
      <w:r w:rsidR="00675308" w:rsidRPr="001540C5">
        <w:t xml:space="preserve">he fields of business, health </w:t>
      </w:r>
      <w:r w:rsidRPr="001540C5">
        <w:t>and building and construction (site management</w:t>
      </w:r>
      <w:r>
        <w:t>)</w:t>
      </w:r>
      <w:r w:rsidR="00675308">
        <w:t>;</w:t>
      </w:r>
      <w:r w:rsidR="00675308">
        <w:br/>
      </w:r>
    </w:p>
    <w:p w14:paraId="268D4991" w14:textId="3EDFCA88" w:rsidR="00087B49" w:rsidRDefault="00087B49" w:rsidP="00CE554D">
      <w:pPr>
        <w:pStyle w:val="ListParagraph"/>
        <w:numPr>
          <w:ilvl w:val="0"/>
          <w:numId w:val="15"/>
        </w:numPr>
        <w:ind w:left="720"/>
      </w:pPr>
      <w:r>
        <w:t>a decline of middle</w:t>
      </w:r>
      <w:r w:rsidR="00FD0578">
        <w:t>-</w:t>
      </w:r>
      <w:r>
        <w:t>level management jobs in the public sector and in manufacturing</w:t>
      </w:r>
      <w:r w:rsidR="00FD0578">
        <w:t>;</w:t>
      </w:r>
      <w:r w:rsidR="00675308">
        <w:br/>
      </w:r>
    </w:p>
    <w:p w14:paraId="154C03B7" w14:textId="77777777" w:rsidR="00087B49" w:rsidRDefault="00087B49" w:rsidP="00CE554D">
      <w:pPr>
        <w:pStyle w:val="ListParagraph"/>
        <w:numPr>
          <w:ilvl w:val="0"/>
          <w:numId w:val="15"/>
        </w:numPr>
        <w:ind w:left="720"/>
      </w:pPr>
      <w:r>
        <w:t>an emphasis on entry-level employment, especially apprenticeships and traineeships at the expense of l</w:t>
      </w:r>
      <w:r w:rsidR="00675308">
        <w:t>ifelong and continuous learning;</w:t>
      </w:r>
      <w:r w:rsidR="00675308">
        <w:br/>
      </w:r>
    </w:p>
    <w:p w14:paraId="20373443" w14:textId="77777777" w:rsidR="00087B49" w:rsidRDefault="00675308" w:rsidP="00CE554D">
      <w:pPr>
        <w:pStyle w:val="ListParagraph"/>
        <w:numPr>
          <w:ilvl w:val="0"/>
          <w:numId w:val="15"/>
        </w:numPr>
        <w:ind w:left="720"/>
      </w:pPr>
      <w:r w:rsidRPr="00DC3FC9">
        <w:t>a</w:t>
      </w:r>
      <w:r w:rsidR="00087B49" w:rsidRPr="00DC3FC9">
        <w:t xml:space="preserve">n inability on the part of industry and government to understand </w:t>
      </w:r>
      <w:r w:rsidRPr="00DC3FC9">
        <w:t xml:space="preserve">the </w:t>
      </w:r>
      <w:r w:rsidR="00DC3FC9" w:rsidRPr="00DC3FC9">
        <w:t>comple</w:t>
      </w:r>
      <w:r w:rsidR="00087B49" w:rsidRPr="00DC3FC9">
        <w:t xml:space="preserve">mentary roles </w:t>
      </w:r>
      <w:r w:rsidRPr="00DC3FC9">
        <w:t xml:space="preserve">of </w:t>
      </w:r>
      <w:r w:rsidR="00087B49" w:rsidRPr="00DC3FC9">
        <w:t>middle level personnel with higher skilled personnel</w:t>
      </w:r>
      <w:r w:rsidR="00DC3FC9">
        <w:t>,</w:t>
      </w:r>
      <w:r w:rsidR="00087B49" w:rsidRPr="00DC3FC9">
        <w:t xml:space="preserve"> in regard to discovering innovation and its successful adaption</w:t>
      </w:r>
      <w:r w:rsidR="00DC3FC9" w:rsidRPr="00DC3FC9">
        <w:t>;</w:t>
      </w:r>
      <w:r>
        <w:br/>
      </w:r>
    </w:p>
    <w:p w14:paraId="00DCAB56" w14:textId="2A699109" w:rsidR="00087B49" w:rsidRDefault="00087B49" w:rsidP="004D330E">
      <w:pPr>
        <w:pStyle w:val="ListParagraph"/>
        <w:numPr>
          <w:ilvl w:val="0"/>
          <w:numId w:val="15"/>
        </w:numPr>
        <w:ind w:left="709" w:hanging="425"/>
      </w:pPr>
      <w:r>
        <w:t>the impact of migration with 69,400 skilled and tempo</w:t>
      </w:r>
      <w:r w:rsidR="00675308">
        <w:t xml:space="preserve">rary skilled migrants entering </w:t>
      </w:r>
      <w:r>
        <w:t xml:space="preserve">Australia in 2019. </w:t>
      </w:r>
      <w:r w:rsidRPr="0074463C">
        <w:t>(ABS</w:t>
      </w:r>
      <w:r w:rsidR="00DC3FC9" w:rsidRPr="0074463C">
        <w:t>, 2019</w:t>
      </w:r>
      <w:r w:rsidRPr="0074463C">
        <w:t>).</w:t>
      </w:r>
      <w:r>
        <w:t xml:space="preserve"> </w:t>
      </w:r>
      <w:r w:rsidR="00006EEA">
        <w:t xml:space="preserve">To put this number in context, </w:t>
      </w:r>
      <w:r>
        <w:t>there are only 60,000 apprenticeship com</w:t>
      </w:r>
      <w:r w:rsidR="00675308">
        <w:t>mencements a year in Australia</w:t>
      </w:r>
      <w:r w:rsidR="00DC3FC9">
        <w:t>;</w:t>
      </w:r>
      <w:r w:rsidR="00675308">
        <w:br/>
      </w:r>
    </w:p>
    <w:p w14:paraId="2CA5B02D" w14:textId="77777777" w:rsidR="00087B49" w:rsidRDefault="00675308" w:rsidP="004D330E">
      <w:pPr>
        <w:pStyle w:val="ListParagraph"/>
        <w:numPr>
          <w:ilvl w:val="0"/>
          <w:numId w:val="15"/>
        </w:numPr>
        <w:ind w:left="709" w:hanging="425"/>
      </w:pPr>
      <w:r>
        <w:t>a</w:t>
      </w:r>
      <w:r w:rsidR="00087B49">
        <w:t>n unanticipated slowdown in business investment and slower than expected technological impacts in the Australian economy</w:t>
      </w:r>
      <w:r w:rsidR="00DC3FC9">
        <w:t>;</w:t>
      </w:r>
      <w:r>
        <w:br/>
      </w:r>
    </w:p>
    <w:p w14:paraId="6B646F16" w14:textId="77777777" w:rsidR="00087B49" w:rsidRDefault="00087B49" w:rsidP="004D330E">
      <w:pPr>
        <w:pStyle w:val="ListParagraph"/>
        <w:numPr>
          <w:ilvl w:val="0"/>
          <w:numId w:val="15"/>
        </w:numPr>
        <w:ind w:left="709" w:hanging="425"/>
      </w:pPr>
      <w:r>
        <w:t>the tarnished reputation of VET.</w:t>
      </w:r>
    </w:p>
    <w:p w14:paraId="070681F0" w14:textId="77777777" w:rsidR="00087B49" w:rsidRDefault="00087B49" w:rsidP="00CE554D">
      <w:r>
        <w:t xml:space="preserve">This decline can be broadly summarised as being caused by reputational issues, competition, shifting priorities, curriculum design, underemployment, </w:t>
      </w:r>
      <w:r w:rsidR="00675308">
        <w:t xml:space="preserve">a </w:t>
      </w:r>
      <w:r>
        <w:t>stagnant economy and low demand.</w:t>
      </w:r>
    </w:p>
    <w:p w14:paraId="1FB39574" w14:textId="32BBFFBE" w:rsidR="00087B49" w:rsidRDefault="00087B49" w:rsidP="00CE554D">
      <w:r>
        <w:t>However, the growth industries are primarily in those areas still covered by vocational education</w:t>
      </w:r>
      <w:r w:rsidR="00675308">
        <w:t>,</w:t>
      </w:r>
      <w:r>
        <w:t xml:space="preserve"> especially health care and construction</w:t>
      </w:r>
      <w:r w:rsidRPr="00DC3FC9">
        <w:t xml:space="preserve">. </w:t>
      </w:r>
      <w:r w:rsidR="00006EEA">
        <w:t>G</w:t>
      </w:r>
      <w:r w:rsidRPr="00DC3FC9">
        <w:t>iven that many of the jobs will require higher technical intermediate education</w:t>
      </w:r>
      <w:r w:rsidR="00DC3FC9" w:rsidRPr="00DC3FC9">
        <w:t xml:space="preserve">, it is </w:t>
      </w:r>
      <w:r w:rsidRPr="00DC3FC9">
        <w:t>important that the VET system identifies th</w:t>
      </w:r>
      <w:r w:rsidR="00006EEA">
        <w:t>is</w:t>
      </w:r>
      <w:r w:rsidRPr="00DC3FC9">
        <w:t xml:space="preserve"> need</w:t>
      </w:r>
      <w:r w:rsidR="00DC3FC9" w:rsidRPr="00DC3FC9">
        <w:t>,</w:t>
      </w:r>
      <w:r w:rsidRPr="00DC3FC9">
        <w:t xml:space="preserve"> and works closely </w:t>
      </w:r>
      <w:r w:rsidRPr="00DC3FC9">
        <w:lastRenderedPageBreak/>
        <w:t>with industry and government</w:t>
      </w:r>
      <w:r w:rsidR="00006EEA">
        <w:t xml:space="preserve"> - </w:t>
      </w:r>
      <w:r>
        <w:t>the principal employers in this field</w:t>
      </w:r>
      <w:r w:rsidR="00006EEA">
        <w:t xml:space="preserve"> - </w:t>
      </w:r>
      <w:r>
        <w:t xml:space="preserve">to develop appropriate intermediate level programs. </w:t>
      </w:r>
    </w:p>
    <w:p w14:paraId="47793EA2" w14:textId="7E014808" w:rsidR="00087B49" w:rsidRDefault="00087B49" w:rsidP="00CE554D">
      <w:r>
        <w:t>In addition</w:t>
      </w:r>
      <w:r w:rsidR="00675308">
        <w:t>,</w:t>
      </w:r>
      <w:r>
        <w:t xml:space="preserve"> much of the growth in the professional sc</w:t>
      </w:r>
      <w:r w:rsidR="00675308">
        <w:t>ientific and technical services</w:t>
      </w:r>
      <w:r>
        <w:t xml:space="preserve"> is in medical</w:t>
      </w:r>
      <w:r w:rsidR="00FD0578">
        <w:t>-</w:t>
      </w:r>
      <w:r>
        <w:t>related industries</w:t>
      </w:r>
      <w:r w:rsidR="00006EEA">
        <w:t>,</w:t>
      </w:r>
      <w:r>
        <w:t xml:space="preserve"> which are highly dependent on high intermediate skilled personnel working alongside professionals.</w:t>
      </w:r>
    </w:p>
    <w:p w14:paraId="1164AF3C" w14:textId="72A28D0E" w:rsidR="00087B49" w:rsidRDefault="00087B49" w:rsidP="00CE554D">
      <w:r>
        <w:t>If Victorians are to benefit from a transitioning economy</w:t>
      </w:r>
      <w:r w:rsidR="00DC3FC9">
        <w:t>,</w:t>
      </w:r>
      <w:r w:rsidR="00675308">
        <w:t xml:space="preserve"> </w:t>
      </w:r>
      <w:r>
        <w:t>at a minimum</w:t>
      </w:r>
      <w:r w:rsidR="00675308">
        <w:t>,</w:t>
      </w:r>
      <w:r>
        <w:t xml:space="preserve"> transitional programs for vulnerable workers </w:t>
      </w:r>
      <w:r w:rsidR="00006EEA">
        <w:t xml:space="preserve">must be </w:t>
      </w:r>
      <w:r>
        <w:t>put in place. This needs to be as strong a focus as on initial vocational programs.</w:t>
      </w:r>
    </w:p>
    <w:p w14:paraId="5EA3573A" w14:textId="55A7B680" w:rsidR="00087B49" w:rsidRDefault="00006EEA" w:rsidP="00CE554D">
      <w:r>
        <w:t xml:space="preserve">Just as the </w:t>
      </w:r>
      <w:r w:rsidR="00087B49">
        <w:t>lower intermediate suite of programs</w:t>
      </w:r>
      <w:r>
        <w:t xml:space="preserve"> need to be revised, so too do the </w:t>
      </w:r>
      <w:r w:rsidR="00087B49">
        <w:t>upper intermediate courses</w:t>
      </w:r>
      <w:r w:rsidR="00FD0578">
        <w:t xml:space="preserve"> need to be re-conceptualised </w:t>
      </w:r>
      <w:r w:rsidR="00341AAD">
        <w:t>away from a narrow, competency-</w:t>
      </w:r>
      <w:r w:rsidR="00087B49">
        <w:t>based curriculum</w:t>
      </w:r>
      <w:r>
        <w:t xml:space="preserve">. The re-conceptualisation must </w:t>
      </w:r>
      <w:r w:rsidR="00087B49">
        <w:t>emphasise broad sets of generic skills, as well as competencies in order to improve adaptability and informal continuous learning.</w:t>
      </w:r>
    </w:p>
    <w:p w14:paraId="3B564262" w14:textId="126EAF7D" w:rsidR="00087B49" w:rsidRDefault="00087B49" w:rsidP="00CE554D">
      <w:r>
        <w:t xml:space="preserve">A broad-based curricular that develops a common core of knowledge and skills that can be reasonably expected to endure </w:t>
      </w:r>
      <w:r w:rsidR="0018025C">
        <w:t xml:space="preserve">should </w:t>
      </w:r>
      <w:r>
        <w:t>be a fundamental principle of curriculum design</w:t>
      </w:r>
      <w:r w:rsidR="0018025C">
        <w:t>, especially</w:t>
      </w:r>
      <w:r>
        <w:t xml:space="preserve"> at a time when employment opport</w:t>
      </w:r>
      <w:r w:rsidR="00701779">
        <w:t>unities are limited</w:t>
      </w:r>
      <w:r>
        <w:t xml:space="preserve">, job security </w:t>
      </w:r>
      <w:r w:rsidR="0018025C">
        <w:t xml:space="preserve">is </w:t>
      </w:r>
      <w:r>
        <w:t xml:space="preserve">uncertain and industry generally </w:t>
      </w:r>
      <w:r w:rsidR="0018025C">
        <w:t xml:space="preserve">is </w:t>
      </w:r>
      <w:r>
        <w:t>unsure of the</w:t>
      </w:r>
      <w:r w:rsidR="00701779">
        <w:t xml:space="preserve"> impact of technological change</w:t>
      </w:r>
      <w:r>
        <w:t>.</w:t>
      </w:r>
    </w:p>
    <w:p w14:paraId="773D7C2B" w14:textId="76373D2E" w:rsidR="00087B49" w:rsidRDefault="00087B49" w:rsidP="00CE554D">
      <w:r>
        <w:t>To strengthen the connection with higher education and to incorporate broad-based skills</w:t>
      </w:r>
      <w:r w:rsidR="00DC3FC9">
        <w:t>,</w:t>
      </w:r>
      <w:r>
        <w:t xml:space="preserve"> some of the higher intermediate qualifications, </w:t>
      </w:r>
      <w:r w:rsidRPr="001C5FAF">
        <w:t>especially those tha</w:t>
      </w:r>
      <w:r w:rsidR="00701779" w:rsidRPr="001C5FAF">
        <w:t xml:space="preserve">t are already </w:t>
      </w:r>
      <w:r w:rsidR="0018025C">
        <w:t>two</w:t>
      </w:r>
      <w:r w:rsidR="00701779" w:rsidRPr="001C5FAF">
        <w:t xml:space="preserve"> </w:t>
      </w:r>
      <w:r w:rsidR="001C5FAF" w:rsidRPr="001C5FAF">
        <w:t>years</w:t>
      </w:r>
      <w:r w:rsidR="00701779" w:rsidRPr="001C5FAF">
        <w:t xml:space="preserve"> in length,</w:t>
      </w:r>
      <w:r w:rsidR="00701779">
        <w:t xml:space="preserve"> </w:t>
      </w:r>
      <w:r>
        <w:t>could be</w:t>
      </w:r>
      <w:r w:rsidR="00B1145C">
        <w:t xml:space="preserve"> rebadged as associate degrees.</w:t>
      </w:r>
    </w:p>
    <w:p w14:paraId="77AE5932" w14:textId="0B39CF76" w:rsidR="00A040AC" w:rsidRDefault="00BD09CF" w:rsidP="00CE554D">
      <w:proofErr w:type="spellStart"/>
      <w:r>
        <w:t>Kuczera</w:t>
      </w:r>
      <w:proofErr w:type="spellEnd"/>
      <w:r>
        <w:t xml:space="preserve"> and Jeon </w:t>
      </w:r>
      <w:r w:rsidRPr="00BD09CF">
        <w:t>(</w:t>
      </w:r>
      <w:r w:rsidR="00087B49" w:rsidRPr="00BD09CF">
        <w:t>OECD</w:t>
      </w:r>
      <w:r w:rsidRPr="00BD09CF">
        <w:t xml:space="preserve"> 2019)</w:t>
      </w:r>
      <w:r w:rsidR="001C5FAF" w:rsidRPr="00BD09CF">
        <w:t xml:space="preserve"> </w:t>
      </w:r>
      <w:r>
        <w:t>emphasise</w:t>
      </w:r>
      <w:r w:rsidR="00087B49">
        <w:t xml:space="preserve"> that to attract high</w:t>
      </w:r>
      <w:r w:rsidR="00CE554D">
        <w:t xml:space="preserve"> performing students and</w:t>
      </w:r>
      <w:r w:rsidR="00087B49">
        <w:t xml:space="preserve"> begin repairing its status, </w:t>
      </w:r>
      <w:r w:rsidR="00A040AC">
        <w:t xml:space="preserve">at a time when modern economies are demanding higher-level stills, VET </w:t>
      </w:r>
      <w:r w:rsidR="00087B49">
        <w:t>cannot be seen as a residual education system</w:t>
      </w:r>
      <w:r w:rsidR="00A040AC">
        <w:t xml:space="preserve">. </w:t>
      </w:r>
      <w:r w:rsidR="00FD0578">
        <w:t xml:space="preserve">Being able to offer </w:t>
      </w:r>
      <w:r w:rsidR="00087B49">
        <w:t xml:space="preserve">higher level qualifications is critical to </w:t>
      </w:r>
      <w:r w:rsidR="00A040AC">
        <w:t xml:space="preserve">meeting the aspirational needs of young people and </w:t>
      </w:r>
      <w:r w:rsidR="00087B49">
        <w:t>i</w:t>
      </w:r>
      <w:r w:rsidR="0018025C">
        <w:t xml:space="preserve">nstilling the desire for </w:t>
      </w:r>
      <w:r w:rsidR="00780B79">
        <w:t>life-</w:t>
      </w:r>
      <w:r w:rsidR="00087B49">
        <w:t>long learning</w:t>
      </w:r>
      <w:r w:rsidR="00A040AC">
        <w:t xml:space="preserve">.  </w:t>
      </w:r>
    </w:p>
    <w:p w14:paraId="5CCC0E47" w14:textId="02A6801C" w:rsidR="00087B49" w:rsidRDefault="0018025C" w:rsidP="00CE554D">
      <w:r>
        <w:t xml:space="preserve">VET </w:t>
      </w:r>
      <w:r w:rsidR="00087B49">
        <w:t xml:space="preserve">needs to have strong pathways into higher education and it needs to control those pathways. </w:t>
      </w:r>
      <w:r>
        <w:t>In the current university framework, p</w:t>
      </w:r>
      <w:r w:rsidR="00087B49">
        <w:t xml:space="preserve">athways from VET </w:t>
      </w:r>
      <w:r>
        <w:t xml:space="preserve">are unfortunately accorded the </w:t>
      </w:r>
      <w:r w:rsidR="00087B49">
        <w:t>same</w:t>
      </w:r>
      <w:r>
        <w:t xml:space="preserve"> low</w:t>
      </w:r>
      <w:r w:rsidR="00087B49">
        <w:t xml:space="preserve"> status as </w:t>
      </w:r>
      <w:r w:rsidR="00FD0578">
        <w:t xml:space="preserve">that given to the idea of </w:t>
      </w:r>
      <w:r w:rsidR="00087B49">
        <w:t>equity for students</w:t>
      </w:r>
      <w:r w:rsidR="00A040AC">
        <w:t>. Pathways have not and will not happen with existing universities.</w:t>
      </w:r>
    </w:p>
    <w:p w14:paraId="012847D7" w14:textId="4BB0E9E8" w:rsidR="00876EC9" w:rsidRDefault="00BD09CF" w:rsidP="00876EC9">
      <w:proofErr w:type="spellStart"/>
      <w:r>
        <w:t>Kuczera</w:t>
      </w:r>
      <w:proofErr w:type="spellEnd"/>
      <w:r>
        <w:t xml:space="preserve"> and Jeon </w:t>
      </w:r>
      <w:r w:rsidRPr="00BD09CF">
        <w:t>(OECD 2019)</w:t>
      </w:r>
      <w:r>
        <w:t xml:space="preserve"> cite</w:t>
      </w:r>
      <w:r w:rsidR="00087B49">
        <w:t xml:space="preserve"> Australia as an example of where students</w:t>
      </w:r>
      <w:r w:rsidR="00710E1E">
        <w:t xml:space="preserve"> with </w:t>
      </w:r>
      <w:r w:rsidR="00087B49">
        <w:t xml:space="preserve">applied or vocational backgrounds </w:t>
      </w:r>
      <w:r w:rsidR="00FD0578">
        <w:t xml:space="preserve">who </w:t>
      </w:r>
      <w:r w:rsidR="00710E1E">
        <w:t xml:space="preserve">enrolled in </w:t>
      </w:r>
      <w:r w:rsidR="00087B49">
        <w:t>research universities reported a big culture shock</w:t>
      </w:r>
      <w:r w:rsidR="00710E1E">
        <w:t>. This reflects n</w:t>
      </w:r>
      <w:r w:rsidR="00087B49">
        <w:t>ot only the formal work requirements, but the different cultural codes and modes of study found in higher education and vocational programs.</w:t>
      </w:r>
      <w:r w:rsidR="00876EC9">
        <w:t xml:space="preserve"> Adult learning concepts involve very different strategies from theory-based instruction. </w:t>
      </w:r>
    </w:p>
    <w:p w14:paraId="6363E40C" w14:textId="3271B282" w:rsidR="00087B49" w:rsidRDefault="00E42A94" w:rsidP="00CE554D">
      <w:r>
        <w:t>It should be great cause for concern that Australia is cited internationally</w:t>
      </w:r>
      <w:r w:rsidR="00B1145C">
        <w:t xml:space="preserve"> </w:t>
      </w:r>
      <w:r>
        <w:t>as an e</w:t>
      </w:r>
      <w:r w:rsidR="008E3F3B">
        <w:t xml:space="preserve">xample of a </w:t>
      </w:r>
      <w:r>
        <w:t xml:space="preserve">country whose </w:t>
      </w:r>
      <w:r w:rsidR="00087B49">
        <w:t>higher education system is unable to meet the needs of a diverse student range</w:t>
      </w:r>
      <w:r w:rsidR="00FA2775">
        <w:t xml:space="preserve">. This suggests </w:t>
      </w:r>
      <w:r w:rsidR="00087B49">
        <w:t xml:space="preserve">that </w:t>
      </w:r>
      <w:r w:rsidR="00FA2775">
        <w:t xml:space="preserve">changes are </w:t>
      </w:r>
      <w:r w:rsidR="00B1145C">
        <w:t>urgently needed</w:t>
      </w:r>
      <w:r w:rsidR="00087B49">
        <w:t>.</w:t>
      </w:r>
    </w:p>
    <w:p w14:paraId="0A3096E6" w14:textId="385BA048" w:rsidR="00087B49" w:rsidRDefault="008E3F3B" w:rsidP="00CE554D">
      <w:r>
        <w:t>One solution would be to create u</w:t>
      </w:r>
      <w:r w:rsidR="00087B49">
        <w:t xml:space="preserve">niversity colleges from one or two existing TAFE institutions in the metropolitan </w:t>
      </w:r>
      <w:r w:rsidR="005201F3">
        <w:t xml:space="preserve">area </w:t>
      </w:r>
      <w:r>
        <w:t xml:space="preserve">that </w:t>
      </w:r>
      <w:r w:rsidR="00087B49">
        <w:t xml:space="preserve">would act as a hub and spoke model for other public and </w:t>
      </w:r>
      <w:r w:rsidR="005201F3">
        <w:t xml:space="preserve">private institutions. </w:t>
      </w:r>
      <w:r w:rsidR="005201F3">
        <w:lastRenderedPageBreak/>
        <w:t>This would enable other</w:t>
      </w:r>
      <w:r>
        <w:t xml:space="preserve"> institution</w:t>
      </w:r>
      <w:r w:rsidR="005201F3">
        <w:t>s</w:t>
      </w:r>
      <w:r w:rsidR="00087B49">
        <w:t xml:space="preserve"> to offer their students </w:t>
      </w:r>
      <w:r>
        <w:t xml:space="preserve">seamless </w:t>
      </w:r>
      <w:r w:rsidR="00087B49">
        <w:t xml:space="preserve">access not only </w:t>
      </w:r>
      <w:r w:rsidR="00FD0578">
        <w:t xml:space="preserve">to </w:t>
      </w:r>
      <w:r w:rsidR="00087B49">
        <w:t>found</w:t>
      </w:r>
      <w:r w:rsidR="005201F3">
        <w:t xml:space="preserve">ation and initial intermediate </w:t>
      </w:r>
      <w:r w:rsidR="00087B49">
        <w:t xml:space="preserve">vocational programs but also to higher education. </w:t>
      </w:r>
    </w:p>
    <w:p w14:paraId="0519B6AC" w14:textId="3BB1B100" w:rsidR="00087B49" w:rsidRDefault="008E3F3B" w:rsidP="00CE554D">
      <w:r>
        <w:t xml:space="preserve">In the regions, </w:t>
      </w:r>
      <w:r w:rsidR="00087B49">
        <w:t xml:space="preserve">a federated governance model could be created in which </w:t>
      </w:r>
      <w:r>
        <w:t xml:space="preserve">regional colleges </w:t>
      </w:r>
      <w:r w:rsidR="005201F3">
        <w:t>combine</w:t>
      </w:r>
      <w:r>
        <w:t xml:space="preserve">, </w:t>
      </w:r>
      <w:r w:rsidR="00087B49">
        <w:t>while maintaining their own identity</w:t>
      </w:r>
      <w:r w:rsidR="005201F3">
        <w:t xml:space="preserve">, to offer an expanded range </w:t>
      </w:r>
      <w:r w:rsidR="00087B49">
        <w:t>of programs and services including higher education.</w:t>
      </w:r>
    </w:p>
    <w:p w14:paraId="4681920A" w14:textId="73A95E80" w:rsidR="00087B49" w:rsidRDefault="00087B49" w:rsidP="00CE554D">
      <w:r>
        <w:t>A revitalised TAFE sector would not only cater for the needs of adults, but also of young people in a range of areas including construction, finance, sales, information technology, tourism, healthcare, agriculture,</w:t>
      </w:r>
      <w:r w:rsidR="008E3F3B">
        <w:t xml:space="preserve"> </w:t>
      </w:r>
      <w:r>
        <w:t xml:space="preserve">media design, engineering and manufacturing. </w:t>
      </w:r>
    </w:p>
    <w:p w14:paraId="73CC7441" w14:textId="66ABA5E8" w:rsidR="00087B49" w:rsidRDefault="00087B49" w:rsidP="00CE554D">
      <w:r>
        <w:t>In the United Kingdom specialist institu</w:t>
      </w:r>
      <w:r w:rsidR="004D330E">
        <w:t>tions have been created in TAFE-like i</w:t>
      </w:r>
      <w:r>
        <w:t>nstitutes to develop</w:t>
      </w:r>
      <w:r w:rsidR="004D330E">
        <w:t>,</w:t>
      </w:r>
      <w:r>
        <w:t xml:space="preserve"> in conjunction with leadi</w:t>
      </w:r>
      <w:r w:rsidR="005201F3">
        <w:t>ng employers</w:t>
      </w:r>
      <w:r w:rsidR="004D330E">
        <w:t>,</w:t>
      </w:r>
      <w:r w:rsidR="005201F3">
        <w:t xml:space="preserve"> specialisations </w:t>
      </w:r>
      <w:r w:rsidR="008E3F3B">
        <w:t xml:space="preserve">to meet the </w:t>
      </w:r>
      <w:r>
        <w:t>upper intermediate technical skill needs in STEM base s</w:t>
      </w:r>
      <w:r w:rsidR="005201F3">
        <w:t>ubjects. Institutions have also</w:t>
      </w:r>
      <w:r>
        <w:t xml:space="preserve"> been created with employers and government to develop simulated hubs for high level skills training in strategically important growth areas. In the UK</w:t>
      </w:r>
      <w:r w:rsidR="004D330E">
        <w:t xml:space="preserve"> </w:t>
      </w:r>
      <w:r>
        <w:t xml:space="preserve">these were identified as high speed rail, nuclear, digital, creative and cultural. This is a good example of </w:t>
      </w:r>
      <w:r w:rsidR="008E3F3B">
        <w:t xml:space="preserve">the integration of </w:t>
      </w:r>
      <w:r>
        <w:t xml:space="preserve">industry </w:t>
      </w:r>
      <w:r w:rsidR="008E3F3B">
        <w:t xml:space="preserve">and education </w:t>
      </w:r>
      <w:r>
        <w:t>policy</w:t>
      </w:r>
      <w:r w:rsidR="008E3F3B">
        <w:t>.</w:t>
      </w:r>
    </w:p>
    <w:p w14:paraId="0594CDAA" w14:textId="77777777" w:rsidR="007A73AD" w:rsidRDefault="007A73AD">
      <w:pPr>
        <w:rPr>
          <w:rFonts w:ascii="Calibri" w:eastAsiaTheme="majorEastAsia" w:hAnsi="Calibri" w:cs="Calibri"/>
          <w:b/>
          <w:color w:val="365F91" w:themeColor="accent1" w:themeShade="BF"/>
          <w:sz w:val="30"/>
          <w:szCs w:val="30"/>
        </w:rPr>
      </w:pPr>
    </w:p>
    <w:p w14:paraId="38A2A389" w14:textId="77777777" w:rsidR="00406C9B" w:rsidRPr="00594D25" w:rsidRDefault="00406C9B" w:rsidP="00594D25">
      <w:pPr>
        <w:pStyle w:val="Heading1"/>
        <w:rPr>
          <w:rFonts w:ascii="Calibri" w:hAnsi="Calibri" w:cs="Calibri"/>
          <w:b/>
          <w:sz w:val="30"/>
          <w:szCs w:val="30"/>
        </w:rPr>
      </w:pPr>
      <w:bookmarkStart w:id="12" w:name="_Toc43128846"/>
      <w:r w:rsidRPr="00594D25">
        <w:rPr>
          <w:rFonts w:ascii="Calibri" w:hAnsi="Calibri" w:cs="Calibri"/>
          <w:b/>
          <w:sz w:val="30"/>
          <w:szCs w:val="30"/>
        </w:rPr>
        <w:t>CONCLUSION</w:t>
      </w:r>
      <w:bookmarkEnd w:id="12"/>
    </w:p>
    <w:p w14:paraId="5268A220" w14:textId="77777777" w:rsidR="00541AE9" w:rsidRDefault="00541AE9" w:rsidP="00541AE9">
      <w:pPr>
        <w:spacing w:after="0"/>
      </w:pPr>
    </w:p>
    <w:p w14:paraId="132079EC" w14:textId="77777777" w:rsidR="00A51663" w:rsidRDefault="00A51663" w:rsidP="00A51663">
      <w:r>
        <w:t>Education has the capacity to transform lives by enabling individuals to gain skills that can improve their chances. Post-secondary education, combined with an industry policy that is more than rhetoric, can supercharge an individual’s fortunes a</w:t>
      </w:r>
      <w:r w:rsidR="00EA1011">
        <w:t>nd benefit the wider community.</w:t>
      </w:r>
    </w:p>
    <w:p w14:paraId="5FF21379" w14:textId="000DCB6B" w:rsidR="00A51663" w:rsidRDefault="00A51663" w:rsidP="00A51663">
      <w:r>
        <w:t xml:space="preserve">However, educational policy that is based upon arbitrary demarcations and has only a residual connection to the needs of the wider economy and community </w:t>
      </w:r>
      <w:r w:rsidR="008E3F3B">
        <w:t xml:space="preserve">only benefits the few </w:t>
      </w:r>
      <w:r>
        <w:t>and can be a very costly and disappointing experience for many. On almost any measure, Australia’s education system has fallen behind comparative countries in the OECD.</w:t>
      </w:r>
    </w:p>
    <w:p w14:paraId="64E1E065" w14:textId="1B59C6B7" w:rsidR="00A51663" w:rsidRDefault="008E3F3B" w:rsidP="00A51663">
      <w:r>
        <w:t>VET is the</w:t>
      </w:r>
      <w:r w:rsidR="00A51663">
        <w:t xml:space="preserve"> weakest link</w:t>
      </w:r>
      <w:r>
        <w:t>.</w:t>
      </w:r>
      <w:r w:rsidR="00A51663">
        <w:t xml:space="preserve"> Marooned and unconnected to secondary education and to higher education, this arrangement is </w:t>
      </w:r>
      <w:r>
        <w:t xml:space="preserve">considered </w:t>
      </w:r>
      <w:r w:rsidR="00A51663">
        <w:t>an anathem</w:t>
      </w:r>
      <w:r w:rsidR="00447420">
        <w:t xml:space="preserve">a by all </w:t>
      </w:r>
      <w:r w:rsidR="00A51663">
        <w:t xml:space="preserve">other </w:t>
      </w:r>
      <w:r w:rsidR="00447420">
        <w:t xml:space="preserve">countries in the </w:t>
      </w:r>
      <w:r w:rsidR="00A51663">
        <w:t>OECD</w:t>
      </w:r>
      <w:r w:rsidR="00447420">
        <w:t>.</w:t>
      </w:r>
      <w:r w:rsidR="00A51663">
        <w:t xml:space="preserve"> The</w:t>
      </w:r>
      <w:r w:rsidR="00447420">
        <w:t xml:space="preserve">se countries </w:t>
      </w:r>
      <w:r w:rsidR="00A51663">
        <w:t xml:space="preserve">ensure that </w:t>
      </w:r>
      <w:r w:rsidR="00447420">
        <w:t xml:space="preserve">students </w:t>
      </w:r>
      <w:r w:rsidR="00A51663">
        <w:t xml:space="preserve">completing upper secondary </w:t>
      </w:r>
      <w:r w:rsidR="00447420">
        <w:t xml:space="preserve">study </w:t>
      </w:r>
      <w:r w:rsidR="00A51663">
        <w:t xml:space="preserve">are well equipped to </w:t>
      </w:r>
      <w:r w:rsidR="00447420">
        <w:t xml:space="preserve">choose their own </w:t>
      </w:r>
      <w:r w:rsidR="00A51663">
        <w:t xml:space="preserve">destinations, whether that be into work or further study. VET students can progress without </w:t>
      </w:r>
      <w:r w:rsidR="00447420">
        <w:t xml:space="preserve">facing </w:t>
      </w:r>
      <w:r w:rsidR="00A51663">
        <w:t>institutional barriers to applied higher education. The higher education framework in the OECD is diversified</w:t>
      </w:r>
      <w:r w:rsidR="00FD0578">
        <w:t xml:space="preserve">, offering </w:t>
      </w:r>
      <w:r w:rsidR="00A51663">
        <w:t>applied universities and academically based universities. Australia does not seem to be able to grasp these fundamental premises.</w:t>
      </w:r>
    </w:p>
    <w:p w14:paraId="486A81EB" w14:textId="5E29118D" w:rsidR="00A51663" w:rsidRDefault="00A51663" w:rsidP="00A51663">
      <w:r>
        <w:t xml:space="preserve">At a time </w:t>
      </w:r>
      <w:r w:rsidR="00EA1011">
        <w:t>when there is</w:t>
      </w:r>
      <w:r>
        <w:t xml:space="preserve"> </w:t>
      </w:r>
      <w:r w:rsidR="00447420">
        <w:t xml:space="preserve">considerable </w:t>
      </w:r>
      <w:r>
        <w:t>job uncertainty and job precariousness, the development of</w:t>
      </w:r>
      <w:r w:rsidR="00EA1011">
        <w:t xml:space="preserve"> a</w:t>
      </w:r>
      <w:r>
        <w:t xml:space="preserve"> broad-based curricular with a common core that could be expected to endure should be a fundamental principle of curriculum. </w:t>
      </w:r>
      <w:r w:rsidR="00447420">
        <w:t xml:space="preserve">Yet the </w:t>
      </w:r>
      <w:r>
        <w:t xml:space="preserve">VET curriculum is locked into a narrow job-focused design which </w:t>
      </w:r>
      <w:r w:rsidR="00447420">
        <w:t>hails f</w:t>
      </w:r>
      <w:r>
        <w:t>rom another age.</w:t>
      </w:r>
    </w:p>
    <w:p w14:paraId="3906FE8C" w14:textId="735D3DFC" w:rsidR="00A51663" w:rsidRDefault="00A51663" w:rsidP="00A51663">
      <w:r>
        <w:t xml:space="preserve">Educational policy, to be relevant to the wider community, needs to reflect the complementarity of skills at all levels in the productive process. This means that a well-resourced and stable policy for education will </w:t>
      </w:r>
      <w:r w:rsidR="00EA1011">
        <w:t>maximise student outcomes</w:t>
      </w:r>
      <w:r>
        <w:t xml:space="preserve"> and meet community demands. It will ensure there are </w:t>
      </w:r>
      <w:r>
        <w:lastRenderedPageBreak/>
        <w:t>connections between upper secondary education and tertiary education and that those connections can be easily accessed by continuing students and those already in the workforce. The connections afford opportunity for those who learn best in applied settings as well as those who thrive in academic orientations.</w:t>
      </w:r>
    </w:p>
    <w:p w14:paraId="5C600318" w14:textId="49597CBC" w:rsidR="00A51663" w:rsidRDefault="00A51663" w:rsidP="00A51663">
      <w:r>
        <w:t xml:space="preserve">Victoria has been the most innovative of all states in relation to experimenting with different choices for students in the upper secondary level. It should not be difficult for this innovative </w:t>
      </w:r>
      <w:r w:rsidR="00447420">
        <w:t>s</w:t>
      </w:r>
      <w:r>
        <w:t xml:space="preserve">tate to reshape </w:t>
      </w:r>
      <w:r w:rsidR="00447420">
        <w:t>its</w:t>
      </w:r>
      <w:r>
        <w:t xml:space="preserve"> upper secondary framework. It will take longer but we are better positioned than any </w:t>
      </w:r>
      <w:r w:rsidR="002E402C">
        <w:t xml:space="preserve">other </w:t>
      </w:r>
      <w:r w:rsidR="00EA1011">
        <w:t>s</w:t>
      </w:r>
      <w:r>
        <w:t xml:space="preserve">tate to diversify our university offerings. These changes will make Victoria at </w:t>
      </w:r>
      <w:r w:rsidR="00447420">
        <w:t xml:space="preserve">a minimum structurally </w:t>
      </w:r>
      <w:r>
        <w:t>comparative with the rest of the world.</w:t>
      </w:r>
    </w:p>
    <w:p w14:paraId="6A639F6F" w14:textId="77777777" w:rsidR="00A51663" w:rsidRDefault="00A51663" w:rsidP="00541AE9">
      <w:pPr>
        <w:spacing w:after="0"/>
      </w:pPr>
    </w:p>
    <w:p w14:paraId="0AE85EDD" w14:textId="77777777" w:rsidR="00EA1011" w:rsidRDefault="00EA1011" w:rsidP="00541AE9">
      <w:pPr>
        <w:spacing w:after="0"/>
      </w:pPr>
    </w:p>
    <w:p w14:paraId="0F8BE93A" w14:textId="77777777" w:rsidR="00EA1011" w:rsidRDefault="00EA1011" w:rsidP="00541AE9">
      <w:pPr>
        <w:spacing w:after="0"/>
      </w:pPr>
    </w:p>
    <w:p w14:paraId="057F1E9B" w14:textId="77777777" w:rsidR="00541AE9" w:rsidRDefault="00541AE9" w:rsidP="00541AE9">
      <w:pPr>
        <w:spacing w:after="0"/>
      </w:pPr>
      <w:r>
        <w:t>Bruce Mackenzie</w:t>
      </w:r>
    </w:p>
    <w:p w14:paraId="78C5CD30" w14:textId="77777777" w:rsidR="00541AE9" w:rsidRDefault="00541AE9" w:rsidP="00541AE9">
      <w:pPr>
        <w:spacing w:after="0"/>
      </w:pPr>
      <w:r>
        <w:t>Mackenzie Research Institute</w:t>
      </w:r>
    </w:p>
    <w:p w14:paraId="575DA312" w14:textId="77777777" w:rsidR="00541AE9" w:rsidRDefault="00541AE9" w:rsidP="00541AE9">
      <w:pPr>
        <w:spacing w:after="0"/>
      </w:pPr>
      <w:r>
        <w:t>May 2020</w:t>
      </w:r>
    </w:p>
    <w:p w14:paraId="7D3287C5" w14:textId="77777777" w:rsidR="00193247" w:rsidRDefault="00193247">
      <w:pPr>
        <w:rPr>
          <w:b/>
          <w:color w:val="1F497D" w:themeColor="text2"/>
          <w:sz w:val="28"/>
        </w:rPr>
      </w:pPr>
      <w:r>
        <w:rPr>
          <w:b/>
          <w:color w:val="1F497D" w:themeColor="text2"/>
          <w:sz w:val="28"/>
        </w:rPr>
        <w:br w:type="page"/>
      </w:r>
    </w:p>
    <w:p w14:paraId="71570EFB" w14:textId="3B5752FC" w:rsidR="00193247" w:rsidRPr="00594D25" w:rsidRDefault="00193247" w:rsidP="00193247">
      <w:pPr>
        <w:pStyle w:val="Heading1"/>
        <w:rPr>
          <w:rFonts w:ascii="Calibri" w:hAnsi="Calibri" w:cs="Calibri"/>
          <w:b/>
          <w:sz w:val="30"/>
          <w:szCs w:val="30"/>
        </w:rPr>
      </w:pPr>
      <w:bookmarkStart w:id="13" w:name="_Toc43128847"/>
      <w:r>
        <w:rPr>
          <w:rFonts w:ascii="Calibri" w:hAnsi="Calibri" w:cs="Calibri"/>
          <w:b/>
          <w:sz w:val="30"/>
          <w:szCs w:val="30"/>
        </w:rPr>
        <w:lastRenderedPageBreak/>
        <w:t>ATTACHMENTS</w:t>
      </w:r>
      <w:bookmarkEnd w:id="13"/>
    </w:p>
    <w:p w14:paraId="27F2E8AB" w14:textId="77777777" w:rsidR="00193247" w:rsidRDefault="00193247" w:rsidP="00193247">
      <w:pPr>
        <w:rPr>
          <w:b/>
          <w:color w:val="1F497D" w:themeColor="text2"/>
          <w:sz w:val="24"/>
        </w:rPr>
      </w:pPr>
    </w:p>
    <w:p w14:paraId="1F6041ED" w14:textId="2BF3EE0A" w:rsidR="00193247" w:rsidRPr="00A04493" w:rsidRDefault="00193247" w:rsidP="00A04493">
      <w:pPr>
        <w:pStyle w:val="Heading2"/>
        <w:rPr>
          <w:rFonts w:ascii="Calibri" w:hAnsi="Calibri" w:cs="Calibri"/>
          <w:b/>
        </w:rPr>
      </w:pPr>
      <w:bookmarkStart w:id="14" w:name="_Toc43128848"/>
      <w:r w:rsidRPr="00A04493">
        <w:rPr>
          <w:rFonts w:ascii="Calibri" w:hAnsi="Calibri" w:cs="Calibri"/>
          <w:b/>
        </w:rPr>
        <w:t xml:space="preserve">Attachment </w:t>
      </w:r>
      <w:proofErr w:type="gramStart"/>
      <w:r w:rsidRPr="00A04493">
        <w:rPr>
          <w:rFonts w:ascii="Calibri" w:hAnsi="Calibri" w:cs="Calibri"/>
          <w:b/>
        </w:rPr>
        <w:t>A  Current</w:t>
      </w:r>
      <w:proofErr w:type="gramEnd"/>
      <w:r w:rsidRPr="00A04493">
        <w:rPr>
          <w:rFonts w:ascii="Calibri" w:hAnsi="Calibri" w:cs="Calibri"/>
          <w:b/>
        </w:rPr>
        <w:t xml:space="preserve"> international skills position</w:t>
      </w:r>
      <w:bookmarkEnd w:id="14"/>
    </w:p>
    <w:p w14:paraId="32C25E0F" w14:textId="77777777" w:rsidR="00193247" w:rsidRDefault="00193247">
      <w:pPr>
        <w:rPr>
          <w:b/>
          <w:color w:val="1F497D" w:themeColor="text2"/>
          <w:sz w:val="28"/>
        </w:rPr>
      </w:pPr>
    </w:p>
    <w:p w14:paraId="7AD853C4" w14:textId="699E7AB3" w:rsidR="00193247" w:rsidRDefault="00193247">
      <w:pPr>
        <w:rPr>
          <w:b/>
          <w:color w:val="1F497D" w:themeColor="text2"/>
          <w:sz w:val="28"/>
        </w:rPr>
      </w:pPr>
      <w:r w:rsidRPr="00CE597C">
        <w:rPr>
          <w:noProof/>
          <w:lang w:eastAsia="en-AU"/>
        </w:rPr>
        <w:drawing>
          <wp:inline distT="0" distB="0" distL="0" distR="0" wp14:anchorId="7FD60C33" wp14:editId="2B75D407">
            <wp:extent cx="7099545" cy="4968010"/>
            <wp:effectExtent l="0" t="953" r="5398" b="5397"/>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urrent international skills position.PNG"/>
                    <pic:cNvPicPr/>
                  </pic:nvPicPr>
                  <pic:blipFill>
                    <a:blip r:embed="rId26">
                      <a:extLst>
                        <a:ext uri="{28A0092B-C50C-407E-A947-70E740481C1C}">
                          <a14:useLocalDpi xmlns:a14="http://schemas.microsoft.com/office/drawing/2010/main" val="0"/>
                        </a:ext>
                      </a:extLst>
                    </a:blip>
                    <a:stretch>
                      <a:fillRect/>
                    </a:stretch>
                  </pic:blipFill>
                  <pic:spPr>
                    <a:xfrm rot="16200000">
                      <a:off x="0" y="0"/>
                      <a:ext cx="7132302" cy="4990932"/>
                    </a:xfrm>
                    <a:prstGeom prst="rect">
                      <a:avLst/>
                    </a:prstGeom>
                  </pic:spPr>
                </pic:pic>
              </a:graphicData>
            </a:graphic>
          </wp:inline>
        </w:drawing>
      </w:r>
    </w:p>
    <w:p w14:paraId="10DCDC0B" w14:textId="77777777" w:rsidR="001540C5" w:rsidRDefault="001540C5">
      <w:pPr>
        <w:rPr>
          <w:b/>
          <w:color w:val="1F497D" w:themeColor="text2"/>
          <w:sz w:val="28"/>
        </w:rPr>
      </w:pPr>
      <w:r>
        <w:rPr>
          <w:b/>
          <w:color w:val="1F497D" w:themeColor="text2"/>
          <w:sz w:val="28"/>
        </w:rPr>
        <w:br w:type="page"/>
      </w:r>
    </w:p>
    <w:p w14:paraId="16ADBB4B" w14:textId="75668796" w:rsidR="00A04493" w:rsidRPr="00A04493" w:rsidRDefault="00A04493" w:rsidP="00A04493">
      <w:pPr>
        <w:pStyle w:val="Heading2"/>
        <w:rPr>
          <w:rFonts w:ascii="Calibri" w:hAnsi="Calibri" w:cs="Calibri"/>
          <w:b/>
        </w:rPr>
      </w:pPr>
      <w:bookmarkStart w:id="15" w:name="_Toc43128849"/>
      <w:r w:rsidRPr="00A04493">
        <w:rPr>
          <w:rFonts w:ascii="Calibri" w:hAnsi="Calibri" w:cs="Calibri"/>
          <w:b/>
        </w:rPr>
        <w:lastRenderedPageBreak/>
        <w:t xml:space="preserve">Attachment </w:t>
      </w:r>
      <w:proofErr w:type="gramStart"/>
      <w:r>
        <w:rPr>
          <w:rFonts w:ascii="Calibri" w:hAnsi="Calibri" w:cs="Calibri"/>
          <w:b/>
        </w:rPr>
        <w:t>B</w:t>
      </w:r>
      <w:r w:rsidRPr="00A04493">
        <w:rPr>
          <w:rFonts w:ascii="Calibri" w:hAnsi="Calibri" w:cs="Calibri"/>
          <w:b/>
        </w:rPr>
        <w:t xml:space="preserve">  </w:t>
      </w:r>
      <w:r>
        <w:rPr>
          <w:rFonts w:ascii="Calibri" w:hAnsi="Calibri" w:cs="Calibri"/>
          <w:b/>
        </w:rPr>
        <w:t>Correspondence</w:t>
      </w:r>
      <w:proofErr w:type="gramEnd"/>
      <w:r>
        <w:rPr>
          <w:rFonts w:ascii="Calibri" w:hAnsi="Calibri" w:cs="Calibri"/>
          <w:b/>
        </w:rPr>
        <w:t xml:space="preserve"> between AQF levels and EQF levels</w:t>
      </w:r>
      <w:bookmarkEnd w:id="15"/>
    </w:p>
    <w:p w14:paraId="176CAACE" w14:textId="63AA961D" w:rsidR="005C5295" w:rsidRPr="004F39D3" w:rsidRDefault="005C5295">
      <w:pPr>
        <w:rPr>
          <w:color w:val="1F497D" w:themeColor="text2"/>
          <w:sz w:val="20"/>
          <w:szCs w:val="20"/>
        </w:rPr>
      </w:pPr>
      <w:r w:rsidRPr="005C5295">
        <w:rPr>
          <w:b/>
          <w:noProof/>
          <w:color w:val="1F497D" w:themeColor="text2"/>
          <w:sz w:val="28"/>
          <w:lang w:eastAsia="en-AU"/>
        </w:rPr>
        <w:drawing>
          <wp:inline distT="0" distB="0" distL="0" distR="0" wp14:anchorId="224DC774" wp14:editId="0DBED0B3">
            <wp:extent cx="6067425" cy="726694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6085976" cy="7289158"/>
                    </a:xfrm>
                    <a:prstGeom prst="rect">
                      <a:avLst/>
                    </a:prstGeom>
                  </pic:spPr>
                </pic:pic>
              </a:graphicData>
            </a:graphic>
          </wp:inline>
        </w:drawing>
      </w:r>
    </w:p>
    <w:p w14:paraId="3E45D476" w14:textId="713C1CA9" w:rsidR="00406C9B" w:rsidRPr="005C5295" w:rsidRDefault="005C5295" w:rsidP="005C5295">
      <w:pPr>
        <w:rPr>
          <w:rFonts w:ascii="Calibri" w:eastAsiaTheme="majorEastAsia" w:hAnsi="Calibri" w:cs="Calibri"/>
          <w:sz w:val="18"/>
          <w:szCs w:val="18"/>
        </w:rPr>
      </w:pPr>
      <w:r w:rsidRPr="005C5295">
        <w:rPr>
          <w:rFonts w:ascii="Calibri" w:hAnsi="Calibri" w:cs="Calibri"/>
          <w:sz w:val="18"/>
          <w:szCs w:val="18"/>
        </w:rPr>
        <w:t>Source</w:t>
      </w:r>
      <w:r w:rsidRPr="005C5295">
        <w:rPr>
          <w:rFonts w:ascii="Calibri" w:eastAsiaTheme="majorEastAsia" w:hAnsi="Calibri" w:cs="Calibri"/>
          <w:sz w:val="18"/>
          <w:szCs w:val="18"/>
        </w:rPr>
        <w:t xml:space="preserve">:  </w:t>
      </w:r>
      <w:r w:rsidRPr="005C5295">
        <w:rPr>
          <w:rFonts w:ascii="Calibri" w:eastAsiaTheme="majorEastAsia" w:hAnsi="Calibri" w:cs="Calibri"/>
          <w:i/>
          <w:sz w:val="18"/>
          <w:szCs w:val="18"/>
        </w:rPr>
        <w:t>Comparative analysis of the Australian Qualifications Framework and the European qualifications Framework for Lifelong Learning:  Joint Technical Report</w:t>
      </w:r>
      <w:r w:rsidRPr="005C5295">
        <w:rPr>
          <w:rFonts w:ascii="Calibri" w:eastAsiaTheme="majorEastAsia" w:hAnsi="Calibri" w:cs="Calibri"/>
          <w:sz w:val="18"/>
          <w:szCs w:val="18"/>
        </w:rPr>
        <w:t xml:space="preserve"> </w:t>
      </w:r>
      <w:r w:rsidRPr="005C5295">
        <w:rPr>
          <w:rFonts w:ascii="Calibri" w:eastAsiaTheme="majorEastAsia" w:hAnsi="Calibri" w:cs="Calibri"/>
          <w:i/>
          <w:sz w:val="18"/>
          <w:szCs w:val="18"/>
        </w:rPr>
        <w:t>2016</w:t>
      </w:r>
      <w:r w:rsidRPr="005C5295">
        <w:rPr>
          <w:rFonts w:ascii="Calibri" w:eastAsiaTheme="majorEastAsia" w:hAnsi="Calibri" w:cs="Calibri"/>
          <w:sz w:val="18"/>
          <w:szCs w:val="18"/>
        </w:rPr>
        <w:t>, Australian Government.</w:t>
      </w:r>
      <w:r w:rsidR="00406C9B" w:rsidRPr="005C5295">
        <w:rPr>
          <w:rFonts w:ascii="Calibri" w:eastAsiaTheme="majorEastAsia" w:hAnsi="Calibri" w:cs="Calibri"/>
          <w:sz w:val="18"/>
          <w:szCs w:val="18"/>
        </w:rPr>
        <w:br w:type="page"/>
      </w:r>
    </w:p>
    <w:p w14:paraId="17F4946D" w14:textId="77777777" w:rsidR="001A380A" w:rsidRPr="00594D25" w:rsidRDefault="00406C9B" w:rsidP="00594D25">
      <w:pPr>
        <w:pStyle w:val="Heading1"/>
        <w:rPr>
          <w:rFonts w:asciiTheme="minorHAnsi" w:hAnsiTheme="minorHAnsi" w:cstheme="minorHAnsi"/>
          <w:b/>
          <w:color w:val="1F497D" w:themeColor="text2"/>
          <w:sz w:val="30"/>
          <w:szCs w:val="30"/>
        </w:rPr>
      </w:pPr>
      <w:bookmarkStart w:id="16" w:name="_Toc43128850"/>
      <w:r w:rsidRPr="00594D25">
        <w:rPr>
          <w:rFonts w:asciiTheme="minorHAnsi" w:hAnsiTheme="minorHAnsi" w:cstheme="minorHAnsi"/>
          <w:b/>
          <w:color w:val="1F497D" w:themeColor="text2"/>
          <w:sz w:val="30"/>
          <w:szCs w:val="30"/>
        </w:rPr>
        <w:lastRenderedPageBreak/>
        <w:t>REFERENCES</w:t>
      </w:r>
      <w:bookmarkEnd w:id="16"/>
    </w:p>
    <w:p w14:paraId="1CEEE01C" w14:textId="77777777" w:rsidR="0033068A" w:rsidRDefault="0033068A" w:rsidP="00406C9B">
      <w:pPr>
        <w:pStyle w:val="FootnoteText"/>
        <w:spacing w:line="276" w:lineRule="auto"/>
        <w:ind w:left="567" w:hanging="567"/>
        <w:rPr>
          <w:rFonts w:asciiTheme="minorHAnsi" w:hAnsiTheme="minorHAnsi" w:cs="Arial"/>
          <w:sz w:val="22"/>
          <w:szCs w:val="22"/>
        </w:rPr>
      </w:pPr>
    </w:p>
    <w:p w14:paraId="131842BA" w14:textId="77777777" w:rsidR="00CB5A8C" w:rsidRPr="00BD09CF" w:rsidRDefault="00CB5A8C" w:rsidP="00406C9B">
      <w:pPr>
        <w:pStyle w:val="FootnoteText"/>
        <w:spacing w:line="276" w:lineRule="auto"/>
        <w:ind w:left="567" w:hanging="567"/>
        <w:rPr>
          <w:rFonts w:asciiTheme="minorHAnsi" w:hAnsiTheme="minorHAnsi" w:cs="Arial"/>
          <w:sz w:val="22"/>
          <w:szCs w:val="22"/>
        </w:rPr>
      </w:pPr>
      <w:r w:rsidRPr="00BD09CF">
        <w:rPr>
          <w:rFonts w:asciiTheme="minorHAnsi" w:hAnsiTheme="minorHAnsi" w:cs="Arial"/>
          <w:sz w:val="22"/>
          <w:szCs w:val="22"/>
        </w:rPr>
        <w:t xml:space="preserve">Bradley, D., Noonan, P., Nugent, H., &amp; Scales, B. (2008). </w:t>
      </w:r>
      <w:r w:rsidRPr="00BD09CF">
        <w:rPr>
          <w:rFonts w:asciiTheme="minorHAnsi" w:hAnsiTheme="minorHAnsi" w:cs="Arial"/>
          <w:i/>
          <w:sz w:val="22"/>
          <w:szCs w:val="22"/>
        </w:rPr>
        <w:t xml:space="preserve">Review of higher education: final report. </w:t>
      </w:r>
      <w:r w:rsidRPr="00BD09CF">
        <w:rPr>
          <w:rFonts w:asciiTheme="minorHAnsi" w:hAnsiTheme="minorHAnsi" w:cs="Arial"/>
          <w:sz w:val="22"/>
          <w:szCs w:val="22"/>
        </w:rPr>
        <w:t xml:space="preserve">Retrieved from </w:t>
      </w:r>
      <w:hyperlink r:id="rId28" w:history="1">
        <w:r w:rsidR="00F568D8" w:rsidRPr="00BD09CF">
          <w:rPr>
            <w:rStyle w:val="Hyperlink"/>
            <w:rFonts w:asciiTheme="minorHAnsi" w:hAnsiTheme="minorHAnsi" w:cs="Arial"/>
            <w:color w:val="auto"/>
            <w:sz w:val="22"/>
            <w:szCs w:val="22"/>
            <w:u w:val="none"/>
          </w:rPr>
          <w:t>https://vital.voced.edu.au/vital/access/services/Download/ngv:32134/SOURCE2</w:t>
        </w:r>
      </w:hyperlink>
    </w:p>
    <w:p w14:paraId="24C4A806" w14:textId="77777777" w:rsidR="00CB5A8C" w:rsidRPr="00BD09CF" w:rsidRDefault="00CB5A8C" w:rsidP="00406C9B">
      <w:pPr>
        <w:spacing w:after="0"/>
        <w:ind w:left="567" w:hanging="567"/>
        <w:jc w:val="both"/>
      </w:pPr>
    </w:p>
    <w:p w14:paraId="106A25D5" w14:textId="77777777" w:rsidR="003C707F" w:rsidRPr="00BD09CF" w:rsidRDefault="003C707F" w:rsidP="00406C9B">
      <w:pPr>
        <w:spacing w:after="0"/>
        <w:ind w:left="567" w:hanging="567"/>
        <w:jc w:val="both"/>
      </w:pPr>
      <w:proofErr w:type="spellStart"/>
      <w:r w:rsidRPr="00BD09CF">
        <w:t>Dhillon</w:t>
      </w:r>
      <w:proofErr w:type="spellEnd"/>
      <w:r w:rsidRPr="00BD09CF">
        <w:t>, Z., Cassidy, N. (2018</w:t>
      </w:r>
      <w:r w:rsidR="001E4F5C" w:rsidRPr="00BD09CF">
        <w:t xml:space="preserve">). </w:t>
      </w:r>
      <w:r w:rsidRPr="00BD09CF">
        <w:rPr>
          <w:i/>
        </w:rPr>
        <w:t xml:space="preserve">Labour Market Outcomes for Younger People.  </w:t>
      </w:r>
      <w:r w:rsidRPr="00BD09CF">
        <w:t>Reserve Bank of Australia.  Retrieved from</w:t>
      </w:r>
    </w:p>
    <w:p w14:paraId="533A2655" w14:textId="77777777" w:rsidR="003C707F" w:rsidRPr="00BD09CF" w:rsidRDefault="005646C5" w:rsidP="00406C9B">
      <w:pPr>
        <w:spacing w:after="0"/>
        <w:ind w:left="567" w:hanging="567"/>
        <w:jc w:val="both"/>
        <w:rPr>
          <w:rStyle w:val="Hyperlink"/>
          <w:color w:val="auto"/>
          <w:u w:val="none"/>
        </w:rPr>
      </w:pPr>
      <w:hyperlink r:id="rId29" w:history="1">
        <w:r w:rsidR="001E4F5C" w:rsidRPr="00BD09CF">
          <w:rPr>
            <w:rStyle w:val="Hyperlink"/>
            <w:color w:val="auto"/>
            <w:u w:val="none"/>
          </w:rPr>
          <w:t>https://www.rba.gov.au/publications/bulleting/2018/jun/labour-market-outcomes-for-younger-people.html. 18/05/20</w:t>
        </w:r>
      </w:hyperlink>
    </w:p>
    <w:p w14:paraId="78DD6F6E" w14:textId="77777777" w:rsidR="001E4F5C" w:rsidRPr="00BD09CF" w:rsidRDefault="001E4F5C" w:rsidP="00406C9B">
      <w:pPr>
        <w:spacing w:after="0"/>
        <w:ind w:left="567" w:hanging="567"/>
        <w:jc w:val="both"/>
        <w:rPr>
          <w:rStyle w:val="Hyperlink"/>
          <w:color w:val="auto"/>
          <w:u w:val="none"/>
        </w:rPr>
      </w:pPr>
    </w:p>
    <w:p w14:paraId="6208C605" w14:textId="77777777" w:rsidR="001E4F5C" w:rsidRPr="00BD09CF" w:rsidRDefault="001E4F5C" w:rsidP="00406C9B">
      <w:pPr>
        <w:spacing w:after="0"/>
        <w:ind w:left="567" w:hanging="567"/>
        <w:jc w:val="both"/>
        <w:rPr>
          <w:rStyle w:val="Hyperlink"/>
          <w:color w:val="auto"/>
          <w:u w:val="none"/>
        </w:rPr>
      </w:pPr>
      <w:r w:rsidRPr="00BD09CF">
        <w:rPr>
          <w:rStyle w:val="Hyperlink"/>
          <w:color w:val="auto"/>
          <w:u w:val="none"/>
        </w:rPr>
        <w:t xml:space="preserve">Jorgensen, C. (2017). </w:t>
      </w:r>
      <w:r w:rsidRPr="00BD09CF">
        <w:rPr>
          <w:rStyle w:val="Hyperlink"/>
          <w:i/>
          <w:color w:val="auto"/>
          <w:u w:val="none"/>
        </w:rPr>
        <w:t xml:space="preserve">From apprenticeships to higher vocational education in Denmark – building bridges while the gap is widening, </w:t>
      </w:r>
      <w:r w:rsidRPr="00BD09CF">
        <w:rPr>
          <w:rStyle w:val="Hyperlink"/>
          <w:color w:val="auto"/>
          <w:u w:val="none"/>
        </w:rPr>
        <w:t xml:space="preserve">Journal of Vocational Education &amp; Training, Vol. 69/1, pp. 64-80, </w:t>
      </w:r>
      <w:hyperlink r:id="rId30" w:history="1">
        <w:r w:rsidRPr="00BD09CF">
          <w:rPr>
            <w:rStyle w:val="Hyperlink"/>
            <w:color w:val="auto"/>
            <w:u w:val="none"/>
          </w:rPr>
          <w:t>http://dx.doi.org/10.1080/13636820.2016.1275030</w:t>
        </w:r>
      </w:hyperlink>
    </w:p>
    <w:p w14:paraId="05A19FC9" w14:textId="77777777" w:rsidR="00CE758B" w:rsidRPr="00BD09CF" w:rsidRDefault="00CE758B" w:rsidP="00406C9B">
      <w:pPr>
        <w:spacing w:after="0"/>
        <w:ind w:left="567" w:hanging="567"/>
        <w:jc w:val="both"/>
      </w:pPr>
    </w:p>
    <w:p w14:paraId="247BA010" w14:textId="77777777" w:rsidR="00BD09CF" w:rsidRPr="00BD09CF" w:rsidRDefault="00BD09CF" w:rsidP="00BD09CF">
      <w:pPr>
        <w:pStyle w:val="FootnoteText"/>
        <w:spacing w:line="276" w:lineRule="auto"/>
        <w:ind w:left="567" w:hanging="567"/>
        <w:rPr>
          <w:rFonts w:asciiTheme="minorHAnsi" w:hAnsiTheme="minorHAnsi" w:cstheme="minorHAnsi"/>
          <w:sz w:val="22"/>
          <w:szCs w:val="22"/>
        </w:rPr>
      </w:pPr>
      <w:proofErr w:type="spellStart"/>
      <w:r w:rsidRPr="00BD09CF">
        <w:rPr>
          <w:rFonts w:asciiTheme="minorHAnsi" w:hAnsiTheme="minorHAnsi" w:cstheme="minorHAnsi"/>
          <w:sz w:val="22"/>
          <w:szCs w:val="22"/>
        </w:rPr>
        <w:t>Kuczera</w:t>
      </w:r>
      <w:proofErr w:type="spellEnd"/>
      <w:r w:rsidRPr="00BD09CF">
        <w:rPr>
          <w:rFonts w:asciiTheme="minorHAnsi" w:hAnsiTheme="minorHAnsi" w:cstheme="minorHAnsi"/>
          <w:sz w:val="22"/>
          <w:szCs w:val="22"/>
        </w:rPr>
        <w:t xml:space="preserve">, M. and S. Jeon (2019), Vocational Education and Training in Sweden, OECD Reviews of Vocational Education and Training, OECD Publishing, Paris. </w:t>
      </w:r>
      <w:hyperlink r:id="rId31" w:history="1">
        <w:r w:rsidRPr="00BD09CF">
          <w:rPr>
            <w:rStyle w:val="Hyperlink"/>
            <w:rFonts w:asciiTheme="minorHAnsi" w:hAnsiTheme="minorHAnsi" w:cstheme="minorHAnsi"/>
            <w:color w:val="auto"/>
            <w:sz w:val="22"/>
            <w:szCs w:val="22"/>
            <w:u w:val="none"/>
          </w:rPr>
          <w:t>https://doi.org/10.1787/g2g9fac5-en</w:t>
        </w:r>
      </w:hyperlink>
    </w:p>
    <w:p w14:paraId="33E39CBB" w14:textId="66C6F753" w:rsidR="007B296E" w:rsidRDefault="007B296E" w:rsidP="007B296E">
      <w:pPr>
        <w:pStyle w:val="FootnoteText"/>
        <w:spacing w:line="276" w:lineRule="auto"/>
        <w:rPr>
          <w:rFonts w:asciiTheme="minorHAnsi" w:hAnsiTheme="minorHAnsi" w:cstheme="minorHAnsi"/>
          <w:sz w:val="22"/>
          <w:szCs w:val="22"/>
        </w:rPr>
      </w:pPr>
    </w:p>
    <w:p w14:paraId="7A0B2402" w14:textId="26BF8F73" w:rsidR="00600DA0" w:rsidRDefault="00600DA0" w:rsidP="00EB64ED">
      <w:pPr>
        <w:pStyle w:val="FootnoteText"/>
        <w:spacing w:line="276" w:lineRule="auto"/>
        <w:ind w:left="720" w:hanging="720"/>
        <w:rPr>
          <w:rFonts w:asciiTheme="minorHAnsi" w:hAnsiTheme="minorHAnsi" w:cstheme="minorHAnsi"/>
          <w:sz w:val="22"/>
          <w:szCs w:val="22"/>
        </w:rPr>
      </w:pPr>
      <w:r>
        <w:rPr>
          <w:rFonts w:asciiTheme="minorHAnsi" w:hAnsiTheme="minorHAnsi" w:cstheme="minorHAnsi"/>
          <w:sz w:val="22"/>
          <w:szCs w:val="22"/>
        </w:rPr>
        <w:t xml:space="preserve">Mason, G. </w:t>
      </w:r>
      <w:r>
        <w:rPr>
          <w:rFonts w:asciiTheme="minorHAnsi" w:hAnsiTheme="minorHAnsi" w:cstheme="minorHAnsi"/>
          <w:i/>
          <w:sz w:val="22"/>
          <w:szCs w:val="22"/>
        </w:rPr>
        <w:t xml:space="preserve">Higher Education, </w:t>
      </w:r>
      <w:r w:rsidR="00EB64ED">
        <w:rPr>
          <w:rFonts w:asciiTheme="minorHAnsi" w:hAnsiTheme="minorHAnsi" w:cstheme="minorHAnsi"/>
          <w:i/>
          <w:sz w:val="22"/>
          <w:szCs w:val="22"/>
        </w:rPr>
        <w:t xml:space="preserve">Initial Vocational Education </w:t>
      </w:r>
      <w:r>
        <w:rPr>
          <w:rFonts w:asciiTheme="minorHAnsi" w:hAnsiTheme="minorHAnsi" w:cstheme="minorHAnsi"/>
          <w:i/>
          <w:sz w:val="22"/>
          <w:szCs w:val="22"/>
        </w:rPr>
        <w:t xml:space="preserve">and </w:t>
      </w:r>
      <w:r w:rsidR="00EB64ED">
        <w:rPr>
          <w:rFonts w:asciiTheme="minorHAnsi" w:hAnsiTheme="minorHAnsi" w:cstheme="minorHAnsi"/>
          <w:i/>
          <w:sz w:val="22"/>
          <w:szCs w:val="22"/>
        </w:rPr>
        <w:t xml:space="preserve">Training </w:t>
      </w:r>
      <w:r>
        <w:rPr>
          <w:rFonts w:asciiTheme="minorHAnsi" w:hAnsiTheme="minorHAnsi" w:cstheme="minorHAnsi"/>
          <w:i/>
          <w:sz w:val="22"/>
          <w:szCs w:val="22"/>
        </w:rPr>
        <w:t xml:space="preserve">and </w:t>
      </w:r>
      <w:r w:rsidR="00EB64ED">
        <w:rPr>
          <w:rFonts w:asciiTheme="minorHAnsi" w:hAnsiTheme="minorHAnsi" w:cstheme="minorHAnsi"/>
          <w:i/>
          <w:sz w:val="22"/>
          <w:szCs w:val="22"/>
        </w:rPr>
        <w:t>C</w:t>
      </w:r>
      <w:r>
        <w:rPr>
          <w:rFonts w:asciiTheme="minorHAnsi" w:hAnsiTheme="minorHAnsi" w:cstheme="minorHAnsi"/>
          <w:i/>
          <w:sz w:val="22"/>
          <w:szCs w:val="22"/>
        </w:rPr>
        <w:t>ontinu</w:t>
      </w:r>
      <w:r w:rsidR="00EB64ED">
        <w:rPr>
          <w:rFonts w:asciiTheme="minorHAnsi" w:hAnsiTheme="minorHAnsi" w:cstheme="minorHAnsi"/>
          <w:i/>
          <w:sz w:val="22"/>
          <w:szCs w:val="22"/>
        </w:rPr>
        <w:t>ing Education Training: Where Should the Balance L</w:t>
      </w:r>
      <w:r>
        <w:rPr>
          <w:rFonts w:asciiTheme="minorHAnsi" w:hAnsiTheme="minorHAnsi" w:cstheme="minorHAnsi"/>
          <w:i/>
          <w:sz w:val="22"/>
          <w:szCs w:val="22"/>
        </w:rPr>
        <w:t xml:space="preserve">ie? </w:t>
      </w:r>
      <w:r>
        <w:rPr>
          <w:rFonts w:asciiTheme="minorHAnsi" w:hAnsiTheme="minorHAnsi" w:cstheme="minorHAnsi"/>
          <w:sz w:val="22"/>
          <w:szCs w:val="22"/>
        </w:rPr>
        <w:t>L</w:t>
      </w:r>
      <w:r w:rsidR="00EB64ED">
        <w:rPr>
          <w:rFonts w:asciiTheme="minorHAnsi" w:hAnsiTheme="minorHAnsi" w:cstheme="minorHAnsi"/>
          <w:sz w:val="22"/>
          <w:szCs w:val="22"/>
        </w:rPr>
        <w:t xml:space="preserve">LAKES, </w:t>
      </w:r>
      <w:r>
        <w:rPr>
          <w:rFonts w:asciiTheme="minorHAnsi" w:hAnsiTheme="minorHAnsi" w:cstheme="minorHAnsi"/>
          <w:sz w:val="22"/>
          <w:szCs w:val="22"/>
        </w:rPr>
        <w:t xml:space="preserve">UCL </w:t>
      </w:r>
      <w:r w:rsidR="00EB64ED">
        <w:rPr>
          <w:rFonts w:asciiTheme="minorHAnsi" w:hAnsiTheme="minorHAnsi" w:cstheme="minorHAnsi"/>
          <w:sz w:val="22"/>
          <w:szCs w:val="22"/>
        </w:rPr>
        <w:t>Institute of Education, Research P</w:t>
      </w:r>
      <w:r>
        <w:rPr>
          <w:rFonts w:asciiTheme="minorHAnsi" w:hAnsiTheme="minorHAnsi" w:cstheme="minorHAnsi"/>
          <w:sz w:val="22"/>
          <w:szCs w:val="22"/>
        </w:rPr>
        <w:t>aper 66. (2019)</w:t>
      </w:r>
    </w:p>
    <w:p w14:paraId="560123DC" w14:textId="77777777" w:rsidR="00600DA0" w:rsidRPr="00600DA0" w:rsidRDefault="00600DA0" w:rsidP="007B296E">
      <w:pPr>
        <w:pStyle w:val="FootnoteText"/>
        <w:spacing w:line="276" w:lineRule="auto"/>
        <w:rPr>
          <w:rFonts w:asciiTheme="minorHAnsi" w:hAnsiTheme="minorHAnsi" w:cstheme="minorHAnsi"/>
          <w:sz w:val="22"/>
          <w:szCs w:val="22"/>
        </w:rPr>
      </w:pPr>
    </w:p>
    <w:p w14:paraId="3E008315" w14:textId="0DA11AA0" w:rsidR="007B296E" w:rsidRDefault="007B296E" w:rsidP="00783EB2">
      <w:pPr>
        <w:spacing w:after="0"/>
        <w:ind w:left="720" w:hanging="720"/>
      </w:pPr>
      <w:r w:rsidRPr="00BD09CF">
        <w:t xml:space="preserve">Mason, G., </w:t>
      </w:r>
      <w:proofErr w:type="spellStart"/>
      <w:r w:rsidRPr="00BD09CF">
        <w:t>O’Mahoney</w:t>
      </w:r>
      <w:proofErr w:type="spellEnd"/>
      <w:r w:rsidRPr="00BD09CF">
        <w:t xml:space="preserve">, M and Riley, R. </w:t>
      </w:r>
      <w:r w:rsidR="00B61CDA">
        <w:rPr>
          <w:i/>
        </w:rPr>
        <w:t>What is holding back UK</w:t>
      </w:r>
      <w:r w:rsidRPr="00BD09CF">
        <w:rPr>
          <w:i/>
        </w:rPr>
        <w:t xml:space="preserve"> </w:t>
      </w:r>
      <w:r w:rsidR="00363F6A">
        <w:rPr>
          <w:i/>
        </w:rPr>
        <w:t>p</w:t>
      </w:r>
      <w:r w:rsidRPr="00BD09CF">
        <w:rPr>
          <w:i/>
        </w:rPr>
        <w:t xml:space="preserve">roductivity? Lessons from decades of measurement. </w:t>
      </w:r>
      <w:r w:rsidRPr="00BD09CF">
        <w:t>(2018) National Institute Economic Review No 246</w:t>
      </w:r>
    </w:p>
    <w:p w14:paraId="78872657" w14:textId="77777777" w:rsidR="00783EB2" w:rsidRPr="00BD09CF" w:rsidRDefault="00783EB2" w:rsidP="00783EB2">
      <w:pPr>
        <w:spacing w:after="0"/>
        <w:ind w:left="720" w:hanging="720"/>
      </w:pPr>
    </w:p>
    <w:p w14:paraId="79C5032B" w14:textId="4B1154D2" w:rsidR="001D6465" w:rsidRPr="00BD09CF" w:rsidRDefault="000C7E09" w:rsidP="00783EB2">
      <w:pPr>
        <w:spacing w:after="0"/>
        <w:ind w:left="567" w:hanging="567"/>
      </w:pPr>
      <w:r w:rsidRPr="00BD09CF">
        <w:t xml:space="preserve">OECD. (2019). </w:t>
      </w:r>
      <w:r w:rsidR="006B512F" w:rsidRPr="00BD09CF">
        <w:rPr>
          <w:i/>
        </w:rPr>
        <w:t>Education at a Glance</w:t>
      </w:r>
      <w:r w:rsidRPr="00BD09CF">
        <w:rPr>
          <w:i/>
        </w:rPr>
        <w:t>.</w:t>
      </w:r>
      <w:r w:rsidR="006B512F" w:rsidRPr="00BD09CF">
        <w:rPr>
          <w:i/>
        </w:rPr>
        <w:t xml:space="preserve"> Australia</w:t>
      </w:r>
      <w:r w:rsidR="006B512F" w:rsidRPr="00BD09CF">
        <w:t xml:space="preserve">.  Retrieved from </w:t>
      </w:r>
      <w:hyperlink r:id="rId32" w:history="1">
        <w:r w:rsidR="006B512F" w:rsidRPr="00BD09CF">
          <w:rPr>
            <w:rStyle w:val="Hyperlink"/>
            <w:color w:val="auto"/>
            <w:u w:val="none"/>
          </w:rPr>
          <w:t>https://www.oecd.org/education/education-at-a-glance/EAG2019_CN_AUS.pdf</w:t>
        </w:r>
      </w:hyperlink>
      <w:r w:rsidR="00C96978" w:rsidRPr="00BD09CF">
        <w:rPr>
          <w:rStyle w:val="Hyperlink"/>
          <w:color w:val="auto"/>
          <w:u w:val="none"/>
        </w:rPr>
        <w:t xml:space="preserve">. </w:t>
      </w:r>
      <w:r w:rsidR="00CB5A8C" w:rsidRPr="00BD09CF">
        <w:rPr>
          <w:rStyle w:val="Hyperlink"/>
          <w:color w:val="auto"/>
          <w:u w:val="none"/>
        </w:rPr>
        <w:t>18/05/</w:t>
      </w:r>
      <w:r w:rsidR="00C96978" w:rsidRPr="00BD09CF">
        <w:rPr>
          <w:rStyle w:val="Hyperlink"/>
          <w:color w:val="auto"/>
          <w:u w:val="none"/>
        </w:rPr>
        <w:t>20</w:t>
      </w:r>
    </w:p>
    <w:p w14:paraId="1B8BB3BD" w14:textId="77777777" w:rsidR="007B296E" w:rsidRDefault="007B296E" w:rsidP="00406C9B">
      <w:pPr>
        <w:pStyle w:val="FootnoteText"/>
        <w:spacing w:line="276" w:lineRule="auto"/>
        <w:ind w:left="567" w:hanging="567"/>
        <w:rPr>
          <w:rFonts w:asciiTheme="minorHAnsi" w:hAnsiTheme="minorHAnsi" w:cstheme="minorHAnsi"/>
          <w:sz w:val="22"/>
          <w:szCs w:val="22"/>
        </w:rPr>
      </w:pPr>
    </w:p>
    <w:p w14:paraId="16178BAC" w14:textId="738DA1F9" w:rsidR="00373B41" w:rsidRPr="00BD09CF" w:rsidRDefault="00373B41" w:rsidP="00406C9B">
      <w:pPr>
        <w:pStyle w:val="FootnoteText"/>
        <w:spacing w:line="276" w:lineRule="auto"/>
        <w:ind w:left="567" w:hanging="567"/>
        <w:rPr>
          <w:rFonts w:asciiTheme="minorHAnsi" w:hAnsiTheme="minorHAnsi" w:cstheme="minorHAnsi"/>
          <w:sz w:val="22"/>
          <w:szCs w:val="22"/>
        </w:rPr>
      </w:pPr>
      <w:r w:rsidRPr="00BD09CF">
        <w:rPr>
          <w:rFonts w:asciiTheme="minorHAnsi" w:hAnsiTheme="minorHAnsi" w:cstheme="minorHAnsi"/>
          <w:sz w:val="22"/>
          <w:szCs w:val="22"/>
        </w:rPr>
        <w:t xml:space="preserve">OECD. (2019). </w:t>
      </w:r>
      <w:r w:rsidRPr="00BD09CF">
        <w:rPr>
          <w:rFonts w:asciiTheme="minorHAnsi" w:hAnsiTheme="minorHAnsi" w:cstheme="minorHAnsi"/>
          <w:i/>
          <w:sz w:val="22"/>
          <w:szCs w:val="22"/>
        </w:rPr>
        <w:t>The Future of Work</w:t>
      </w:r>
      <w:r w:rsidR="00C96978" w:rsidRPr="00BD09CF">
        <w:rPr>
          <w:rFonts w:asciiTheme="minorHAnsi" w:hAnsiTheme="minorHAnsi" w:cstheme="minorHAnsi"/>
          <w:i/>
          <w:sz w:val="22"/>
          <w:szCs w:val="22"/>
        </w:rPr>
        <w:t>.</w:t>
      </w:r>
      <w:r w:rsidRPr="00BD09CF">
        <w:rPr>
          <w:rFonts w:asciiTheme="minorHAnsi" w:hAnsiTheme="minorHAnsi" w:cstheme="minorHAnsi"/>
          <w:i/>
          <w:sz w:val="22"/>
          <w:szCs w:val="22"/>
        </w:rPr>
        <w:t xml:space="preserve"> OECD Employment Outlook 2019</w:t>
      </w:r>
      <w:r w:rsidRPr="00BD09CF">
        <w:rPr>
          <w:rFonts w:asciiTheme="minorHAnsi" w:hAnsiTheme="minorHAnsi" w:cstheme="minorHAnsi"/>
          <w:sz w:val="22"/>
          <w:szCs w:val="22"/>
        </w:rPr>
        <w:t>.  Retrieved from</w:t>
      </w:r>
      <w:r w:rsidR="00CB5A8C" w:rsidRPr="00BD09CF">
        <w:rPr>
          <w:rFonts w:asciiTheme="minorHAnsi" w:hAnsiTheme="minorHAnsi" w:cstheme="minorHAnsi"/>
          <w:sz w:val="22"/>
          <w:szCs w:val="22"/>
        </w:rPr>
        <w:t xml:space="preserve"> </w:t>
      </w:r>
      <w:hyperlink r:id="rId33" w:history="1">
        <w:r w:rsidRPr="00BD09CF">
          <w:rPr>
            <w:rStyle w:val="Hyperlink"/>
            <w:rFonts w:asciiTheme="minorHAnsi" w:hAnsiTheme="minorHAnsi" w:cstheme="minorHAnsi"/>
            <w:color w:val="auto"/>
            <w:sz w:val="22"/>
            <w:szCs w:val="22"/>
            <w:u w:val="none"/>
          </w:rPr>
          <w:t>https://www.oecd-ilibrary.org/docserver/9ee00155-en.pdf?expires=1589763723&amp;id=id&amp;accname=guest&amp;checksum=A22D4B4D0F5DEB837DD850EEEFE3C8CA</w:t>
        </w:r>
      </w:hyperlink>
      <w:r w:rsidR="00C96978" w:rsidRPr="00BD09CF">
        <w:rPr>
          <w:rFonts w:asciiTheme="minorHAnsi" w:hAnsiTheme="minorHAnsi" w:cstheme="minorHAnsi"/>
          <w:sz w:val="22"/>
          <w:szCs w:val="22"/>
        </w:rPr>
        <w:t xml:space="preserve">. </w:t>
      </w:r>
      <w:r w:rsidR="00CB5A8C" w:rsidRPr="00BD09CF">
        <w:rPr>
          <w:rStyle w:val="Hyperlink"/>
          <w:color w:val="auto"/>
          <w:sz w:val="22"/>
          <w:u w:val="none"/>
        </w:rPr>
        <w:t>18/05/</w:t>
      </w:r>
      <w:r w:rsidR="00C96978" w:rsidRPr="00BD09CF">
        <w:rPr>
          <w:rStyle w:val="Hyperlink"/>
          <w:color w:val="auto"/>
          <w:sz w:val="22"/>
          <w:u w:val="none"/>
        </w:rPr>
        <w:t>20</w:t>
      </w:r>
    </w:p>
    <w:p w14:paraId="2056137D" w14:textId="77777777" w:rsidR="00373B41" w:rsidRPr="00BD09CF" w:rsidRDefault="00373B41" w:rsidP="00406C9B">
      <w:pPr>
        <w:pStyle w:val="FootnoteText"/>
        <w:spacing w:line="276" w:lineRule="auto"/>
        <w:ind w:left="567" w:hanging="567"/>
        <w:rPr>
          <w:rFonts w:asciiTheme="minorHAnsi" w:hAnsiTheme="minorHAnsi" w:cstheme="minorHAnsi"/>
          <w:sz w:val="22"/>
          <w:szCs w:val="22"/>
        </w:rPr>
      </w:pPr>
    </w:p>
    <w:p w14:paraId="21365943" w14:textId="77777777" w:rsidR="00C96978" w:rsidRPr="00BD09CF" w:rsidRDefault="00C96978" w:rsidP="00406C9B">
      <w:pPr>
        <w:pStyle w:val="FootnoteText"/>
        <w:spacing w:line="276" w:lineRule="auto"/>
        <w:ind w:left="567" w:hanging="567"/>
        <w:rPr>
          <w:rFonts w:asciiTheme="minorHAnsi" w:hAnsiTheme="minorHAnsi" w:cstheme="minorHAnsi"/>
          <w:sz w:val="22"/>
          <w:szCs w:val="22"/>
        </w:rPr>
      </w:pPr>
      <w:r w:rsidRPr="00BD09CF">
        <w:rPr>
          <w:rFonts w:asciiTheme="minorHAnsi" w:hAnsiTheme="minorHAnsi" w:cstheme="minorHAnsi"/>
          <w:sz w:val="22"/>
          <w:szCs w:val="22"/>
        </w:rPr>
        <w:t xml:space="preserve">OECD. (2019). </w:t>
      </w:r>
      <w:r w:rsidRPr="00BD09CF">
        <w:rPr>
          <w:rFonts w:asciiTheme="minorHAnsi" w:hAnsiTheme="minorHAnsi" w:cstheme="minorHAnsi"/>
          <w:i/>
          <w:sz w:val="22"/>
          <w:szCs w:val="22"/>
        </w:rPr>
        <w:t>The Future of Work. How does AUSTRALIA compare? OECD Employment Outlook 2019</w:t>
      </w:r>
      <w:r w:rsidRPr="00BD09CF">
        <w:rPr>
          <w:rFonts w:asciiTheme="minorHAnsi" w:hAnsiTheme="minorHAnsi" w:cstheme="minorHAnsi"/>
          <w:sz w:val="22"/>
          <w:szCs w:val="22"/>
        </w:rPr>
        <w:t xml:space="preserve">. Retrieved from </w:t>
      </w:r>
      <w:hyperlink r:id="rId34" w:history="1">
        <w:r w:rsidRPr="00BD09CF">
          <w:rPr>
            <w:rStyle w:val="Hyperlink"/>
            <w:rFonts w:asciiTheme="minorHAnsi" w:hAnsiTheme="minorHAnsi" w:cstheme="minorHAnsi"/>
            <w:color w:val="auto"/>
            <w:sz w:val="22"/>
            <w:szCs w:val="22"/>
            <w:u w:val="none"/>
          </w:rPr>
          <w:t>www.oecd.org/australia/Employment-Outlook-Australia-EN.pdf</w:t>
        </w:r>
      </w:hyperlink>
      <w:r w:rsidRPr="00BD09CF">
        <w:rPr>
          <w:rFonts w:asciiTheme="minorHAnsi" w:hAnsiTheme="minorHAnsi" w:cstheme="minorHAnsi"/>
          <w:sz w:val="22"/>
          <w:szCs w:val="22"/>
        </w:rPr>
        <w:t xml:space="preserve">. </w:t>
      </w:r>
      <w:r w:rsidR="00CB5A8C" w:rsidRPr="00BD09CF">
        <w:rPr>
          <w:rStyle w:val="Hyperlink"/>
          <w:color w:val="auto"/>
          <w:sz w:val="22"/>
          <w:u w:val="none"/>
        </w:rPr>
        <w:t>18/05/</w:t>
      </w:r>
      <w:r w:rsidRPr="00BD09CF">
        <w:rPr>
          <w:rStyle w:val="Hyperlink"/>
          <w:color w:val="auto"/>
          <w:sz w:val="22"/>
          <w:u w:val="none"/>
        </w:rPr>
        <w:t>20</w:t>
      </w:r>
    </w:p>
    <w:p w14:paraId="4099D1ED" w14:textId="77777777" w:rsidR="007B296E" w:rsidRDefault="007B296E" w:rsidP="00406C9B">
      <w:pPr>
        <w:pStyle w:val="FootnoteText"/>
        <w:spacing w:line="276" w:lineRule="auto"/>
        <w:ind w:left="567" w:hanging="567"/>
        <w:rPr>
          <w:rFonts w:asciiTheme="minorHAnsi" w:hAnsiTheme="minorHAnsi" w:cstheme="minorHAnsi"/>
          <w:sz w:val="22"/>
          <w:szCs w:val="22"/>
        </w:rPr>
      </w:pPr>
    </w:p>
    <w:p w14:paraId="726BF1BD" w14:textId="51E38AA8" w:rsidR="007B296E" w:rsidRDefault="007B296E" w:rsidP="007B296E">
      <w:pPr>
        <w:spacing w:after="0"/>
        <w:ind w:left="567" w:hanging="567"/>
        <w:jc w:val="both"/>
        <w:rPr>
          <w:i/>
        </w:rPr>
      </w:pPr>
      <w:r w:rsidRPr="00BD09CF">
        <w:t xml:space="preserve">Pennington, A., Stanford, D., Centre for </w:t>
      </w:r>
      <w:proofErr w:type="spellStart"/>
      <w:r w:rsidRPr="00BD09CF">
        <w:t>FutureWork</w:t>
      </w:r>
      <w:proofErr w:type="spellEnd"/>
      <w:r w:rsidRPr="00BD09CF">
        <w:t xml:space="preserve"> (October 2019). </w:t>
      </w:r>
      <w:r w:rsidRPr="00BD09CF">
        <w:rPr>
          <w:i/>
        </w:rPr>
        <w:t>The Future of Work for Australian Graduates:  The Changing Landscape of University-Employment Transitions in Australia</w:t>
      </w:r>
    </w:p>
    <w:p w14:paraId="214B414D" w14:textId="77777777" w:rsidR="007B296E" w:rsidRPr="007B296E" w:rsidRDefault="007B296E" w:rsidP="007B296E">
      <w:pPr>
        <w:spacing w:after="0"/>
        <w:ind w:left="567" w:hanging="567"/>
        <w:jc w:val="both"/>
      </w:pPr>
    </w:p>
    <w:p w14:paraId="3A649DB4" w14:textId="5436AC6D" w:rsidR="00406C9B" w:rsidRDefault="00CE758B" w:rsidP="00EB64ED">
      <w:pPr>
        <w:pStyle w:val="FootnoteText"/>
        <w:spacing w:line="276" w:lineRule="auto"/>
        <w:ind w:left="567" w:hanging="567"/>
      </w:pPr>
      <w:r w:rsidRPr="00BD09CF">
        <w:rPr>
          <w:rFonts w:asciiTheme="minorHAnsi" w:hAnsiTheme="minorHAnsi" w:cstheme="minorHAnsi"/>
          <w:sz w:val="22"/>
          <w:szCs w:val="22"/>
        </w:rPr>
        <w:t xml:space="preserve">Schubert, R., </w:t>
      </w:r>
      <w:proofErr w:type="spellStart"/>
      <w:r w:rsidRPr="00BD09CF">
        <w:rPr>
          <w:rFonts w:asciiTheme="minorHAnsi" w:hAnsiTheme="minorHAnsi" w:cstheme="minorHAnsi"/>
          <w:sz w:val="22"/>
          <w:szCs w:val="22"/>
        </w:rPr>
        <w:t>Goedegebuure</w:t>
      </w:r>
      <w:proofErr w:type="spellEnd"/>
      <w:r w:rsidRPr="00BD09CF">
        <w:rPr>
          <w:rFonts w:asciiTheme="minorHAnsi" w:hAnsiTheme="minorHAnsi" w:cstheme="minorHAnsi"/>
          <w:sz w:val="22"/>
          <w:szCs w:val="22"/>
        </w:rPr>
        <w:t xml:space="preserve">, L. &amp; Meek, V. L. (2018). </w:t>
      </w:r>
      <w:proofErr w:type="spellStart"/>
      <w:r w:rsidRPr="00BD09CF">
        <w:rPr>
          <w:rFonts w:asciiTheme="minorHAnsi" w:hAnsiTheme="minorHAnsi" w:cstheme="minorHAnsi"/>
          <w:i/>
          <w:sz w:val="22"/>
          <w:szCs w:val="22"/>
        </w:rPr>
        <w:t>Revisioning</w:t>
      </w:r>
      <w:proofErr w:type="spellEnd"/>
      <w:r w:rsidRPr="00BD09CF">
        <w:rPr>
          <w:rFonts w:asciiTheme="minorHAnsi" w:hAnsiTheme="minorHAnsi" w:cstheme="minorHAnsi"/>
          <w:i/>
          <w:sz w:val="22"/>
          <w:szCs w:val="22"/>
        </w:rPr>
        <w:t xml:space="preserve"> the System: a critical analysis and the way forward</w:t>
      </w:r>
      <w:r w:rsidRPr="00BD09CF">
        <w:rPr>
          <w:rFonts w:asciiTheme="minorHAnsi" w:hAnsiTheme="minorHAnsi" w:cstheme="minorHAnsi"/>
          <w:sz w:val="22"/>
          <w:szCs w:val="22"/>
        </w:rPr>
        <w:t xml:space="preserve">. Retrieved from </w:t>
      </w:r>
      <w:hyperlink r:id="rId35" w:history="1">
        <w:r w:rsidR="00CB5A8C" w:rsidRPr="00BD09CF">
          <w:rPr>
            <w:rStyle w:val="Hyperlink"/>
            <w:rFonts w:asciiTheme="minorHAnsi" w:hAnsiTheme="minorHAnsi" w:cstheme="minorHAnsi"/>
            <w:color w:val="auto"/>
            <w:sz w:val="22"/>
            <w:szCs w:val="22"/>
            <w:u w:val="none"/>
          </w:rPr>
          <w:t>https://melbourne-cshe.unimelb.edu.au/__data/assets/pdf_file/0007/2845780/Revisioning-the-system-310718-Final-004.pdf</w:t>
        </w:r>
      </w:hyperlink>
      <w:r w:rsidR="00CB5A8C" w:rsidRPr="00BD09CF">
        <w:rPr>
          <w:rFonts w:asciiTheme="minorHAnsi" w:hAnsiTheme="minorHAnsi" w:cstheme="minorHAnsi"/>
          <w:sz w:val="22"/>
          <w:szCs w:val="22"/>
        </w:rPr>
        <w:t>. 18/5/20</w:t>
      </w:r>
    </w:p>
    <w:sectPr w:rsidR="00406C9B" w:rsidSect="007C417A">
      <w:footerReference w:type="default" r:id="rId36"/>
      <w:pgSz w:w="11906" w:h="16838"/>
      <w:pgMar w:top="1440" w:right="1440" w:bottom="1276" w:left="1440" w:header="708" w:footer="708" w:gutter="0"/>
      <w:pgNumType w:start="2"/>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727AC0" w16cex:dateUtc="2020-05-22T06:22:00Z"/>
  <w16cex:commentExtensible w16cex:durableId="2273A793" w16cex:dateUtc="2020-05-23T03:45:00Z"/>
  <w16cex:commentExtensible w16cex:durableId="2273A998" w16cex:dateUtc="2020-05-23T03:54:00Z"/>
  <w16cex:commentExtensible w16cex:durableId="2273A7D9" w16cex:dateUtc="2020-05-23T03:47:00Z"/>
  <w16cex:commentExtensible w16cex:durableId="2273A839" w16cex:dateUtc="2020-05-23T03:48:00Z"/>
  <w16cex:commentExtensible w16cex:durableId="2273ABFD" w16cex:dateUtc="2020-05-23T04:04:00Z"/>
  <w16cex:commentExtensible w16cex:durableId="2273B183" w16cex:dateUtc="2020-05-23T04:28:00Z"/>
  <w16cex:commentExtensible w16cex:durableId="2273B1B1" w16cex:dateUtc="2020-05-23T04: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50D651A" w16cid:durableId="22727AC0"/>
  <w16cid:commentId w16cid:paraId="3B00EF97" w16cid:durableId="2273A793"/>
  <w16cid:commentId w16cid:paraId="14E252E3" w16cid:durableId="2273A998"/>
  <w16cid:commentId w16cid:paraId="5D554CC2" w16cid:durableId="2273A7D9"/>
  <w16cid:commentId w16cid:paraId="39E9BEEC" w16cid:durableId="2273A839"/>
  <w16cid:commentId w16cid:paraId="7C8DA3DC" w16cid:durableId="2273ABFD"/>
  <w16cid:commentId w16cid:paraId="3F941ABD" w16cid:durableId="2273B183"/>
  <w16cid:commentId w16cid:paraId="789E2EEE" w16cid:durableId="2273B1B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900F08" w14:textId="77777777" w:rsidR="00C74387" w:rsidRDefault="00C74387" w:rsidP="001A0894">
      <w:pPr>
        <w:spacing w:after="0" w:line="240" w:lineRule="auto"/>
      </w:pPr>
      <w:r>
        <w:separator/>
      </w:r>
    </w:p>
  </w:endnote>
  <w:endnote w:type="continuationSeparator" w:id="0">
    <w:p w14:paraId="2FC7993C" w14:textId="77777777" w:rsidR="00C74387" w:rsidRDefault="00C74387" w:rsidP="001A08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oppins">
    <w:altName w:val="Poppins"/>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8552B7" w14:textId="77777777" w:rsidR="005646C5" w:rsidRDefault="005646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5913736"/>
      <w:docPartObj>
        <w:docPartGallery w:val="Page Numbers (Bottom of Page)"/>
        <w:docPartUnique/>
      </w:docPartObj>
    </w:sdtPr>
    <w:sdtEndPr>
      <w:rPr>
        <w:color w:val="7F7F7F" w:themeColor="background1" w:themeShade="7F"/>
        <w:spacing w:val="60"/>
      </w:rPr>
    </w:sdtEndPr>
    <w:sdtContent>
      <w:p w14:paraId="20550707" w14:textId="4AE42477" w:rsidR="00C74387" w:rsidRDefault="00C74387">
        <w:pPr>
          <w:pStyle w:val="Footer"/>
          <w:pBdr>
            <w:top w:val="single" w:sz="4" w:space="1" w:color="D9D9D9" w:themeColor="background1" w:themeShade="D9"/>
          </w:pBdr>
          <w:jc w:val="right"/>
        </w:pPr>
        <w:r>
          <w:fldChar w:fldCharType="begin"/>
        </w:r>
        <w:r>
          <w:instrText xml:space="preserve"> PAGE   \* MERGEFORMAT </w:instrText>
        </w:r>
        <w:r>
          <w:fldChar w:fldCharType="separate"/>
        </w:r>
        <w:r w:rsidR="005646C5">
          <w:rPr>
            <w:noProof/>
          </w:rPr>
          <w:t>2</w:t>
        </w:r>
        <w:r>
          <w:rPr>
            <w:noProof/>
          </w:rPr>
          <w:fldChar w:fldCharType="end"/>
        </w:r>
        <w:r>
          <w:t xml:space="preserve"> | </w:t>
        </w:r>
        <w:r>
          <w:rPr>
            <w:color w:val="7F7F7F" w:themeColor="background1" w:themeShade="7F"/>
            <w:spacing w:val="60"/>
          </w:rPr>
          <w:t>Page</w:t>
        </w:r>
      </w:p>
    </w:sdtContent>
  </w:sdt>
  <w:p w14:paraId="1EA3AF75" w14:textId="77777777" w:rsidR="00C74387" w:rsidRDefault="00C743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FBFE2C" w14:textId="4B31E7B4" w:rsidR="00C74387" w:rsidRDefault="00C74387" w:rsidP="007C417A">
    <w:pPr>
      <w:pStyle w:val="Footer"/>
      <w:jc w:val="right"/>
    </w:pPr>
  </w:p>
  <w:p w14:paraId="3AEAED3E" w14:textId="77777777" w:rsidR="00C74387" w:rsidRDefault="00C7438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127588040"/>
      <w:docPartObj>
        <w:docPartGallery w:val="Page Numbers (Bottom of Page)"/>
        <w:docPartUnique/>
      </w:docPartObj>
    </w:sdtPr>
    <w:sdtEndPr>
      <w:rPr>
        <w:color w:val="7F7F7F" w:themeColor="background1" w:themeShade="7F"/>
        <w:spacing w:val="60"/>
      </w:rPr>
    </w:sdtEndPr>
    <w:sdtContent>
      <w:p w14:paraId="362E1122" w14:textId="714A8E50" w:rsidR="00C74387" w:rsidRPr="005646C5" w:rsidRDefault="005646C5" w:rsidP="005646C5">
        <w:pPr>
          <w:pStyle w:val="Footer"/>
          <w:pBdr>
            <w:top w:val="single" w:sz="4" w:space="1" w:color="D9D9D9" w:themeColor="background1" w:themeShade="D9"/>
          </w:pBdr>
          <w:tabs>
            <w:tab w:val="clear" w:pos="4513"/>
            <w:tab w:val="left" w:pos="7797"/>
          </w:tabs>
          <w:rPr>
            <w:sz w:val="20"/>
            <w:szCs w:val="20"/>
          </w:rPr>
        </w:pPr>
        <w:r w:rsidRPr="005646C5">
          <w:rPr>
            <w:color w:val="1F497D" w:themeColor="text2"/>
            <w:sz w:val="20"/>
            <w:szCs w:val="20"/>
          </w:rPr>
          <w:t>Skills for Victoria’s Growing Economy</w:t>
        </w:r>
        <w:r>
          <w:rPr>
            <w:color w:val="1F497D" w:themeColor="text2"/>
            <w:sz w:val="20"/>
            <w:szCs w:val="20"/>
          </w:rPr>
          <w:t xml:space="preserve"> Part 1</w:t>
        </w:r>
        <w:r w:rsidRPr="005646C5">
          <w:rPr>
            <w:color w:val="1F497D" w:themeColor="text2"/>
            <w:sz w:val="20"/>
            <w:szCs w:val="20"/>
          </w:rPr>
          <w:tab/>
        </w:r>
        <w:r w:rsidR="00C74387" w:rsidRPr="005646C5">
          <w:rPr>
            <w:color w:val="1F497D" w:themeColor="text2"/>
            <w:sz w:val="20"/>
            <w:szCs w:val="20"/>
          </w:rPr>
          <w:fldChar w:fldCharType="begin"/>
        </w:r>
        <w:r w:rsidR="00C74387" w:rsidRPr="005646C5">
          <w:rPr>
            <w:color w:val="1F497D" w:themeColor="text2"/>
            <w:sz w:val="20"/>
            <w:szCs w:val="20"/>
          </w:rPr>
          <w:instrText xml:space="preserve"> PAGE   \* MERGEFORMAT </w:instrText>
        </w:r>
        <w:r w:rsidR="00C74387" w:rsidRPr="005646C5">
          <w:rPr>
            <w:color w:val="1F497D" w:themeColor="text2"/>
            <w:sz w:val="20"/>
            <w:szCs w:val="20"/>
          </w:rPr>
          <w:fldChar w:fldCharType="separate"/>
        </w:r>
        <w:r>
          <w:rPr>
            <w:noProof/>
            <w:color w:val="1F497D" w:themeColor="text2"/>
            <w:sz w:val="20"/>
            <w:szCs w:val="20"/>
          </w:rPr>
          <w:t>2</w:t>
        </w:r>
        <w:r w:rsidR="00C74387" w:rsidRPr="005646C5">
          <w:rPr>
            <w:noProof/>
            <w:color w:val="1F497D" w:themeColor="text2"/>
            <w:sz w:val="20"/>
            <w:szCs w:val="20"/>
          </w:rPr>
          <w:fldChar w:fldCharType="end"/>
        </w:r>
        <w:r w:rsidR="00C74387" w:rsidRPr="005646C5">
          <w:rPr>
            <w:sz w:val="20"/>
            <w:szCs w:val="20"/>
          </w:rPr>
          <w:t xml:space="preserve"> | </w:t>
        </w:r>
        <w:r w:rsidR="00C74387" w:rsidRPr="005646C5">
          <w:rPr>
            <w:color w:val="1F497D" w:themeColor="text2"/>
            <w:spacing w:val="60"/>
            <w:sz w:val="20"/>
            <w:szCs w:val="20"/>
          </w:rPr>
          <w:t>Page</w:t>
        </w:r>
      </w:p>
    </w:sdtContent>
  </w:sdt>
  <w:p w14:paraId="7B03B4B0" w14:textId="77777777" w:rsidR="00C74387" w:rsidRDefault="00C74387">
    <w:pPr>
      <w:pStyle w:val="Footer"/>
    </w:pPr>
    <w:bookmarkStart w:id="17" w:name="_GoBack"/>
    <w:bookmarkEnd w:id="17"/>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1325C3" w14:textId="77777777" w:rsidR="00C74387" w:rsidRDefault="00C74387" w:rsidP="001A0894">
      <w:pPr>
        <w:spacing w:after="0" w:line="240" w:lineRule="auto"/>
      </w:pPr>
      <w:r>
        <w:separator/>
      </w:r>
    </w:p>
  </w:footnote>
  <w:footnote w:type="continuationSeparator" w:id="0">
    <w:p w14:paraId="2165F106" w14:textId="77777777" w:rsidR="00C74387" w:rsidRDefault="00C74387" w:rsidP="001A08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8E4E22" w14:textId="77777777" w:rsidR="005646C5" w:rsidRDefault="005646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788BB2" w14:textId="77777777" w:rsidR="00C74387" w:rsidRDefault="00C74387" w:rsidP="001A0894">
    <w:pPr>
      <w:pStyle w:val="Header"/>
      <w:jc w:val="right"/>
    </w:pPr>
    <w:r>
      <w:rPr>
        <w:noProof/>
        <w:lang w:eastAsia="en-AU"/>
      </w:rPr>
      <w:drawing>
        <wp:inline distT="0" distB="0" distL="0" distR="0" wp14:anchorId="6CA2C0B2" wp14:editId="3AC75B42">
          <wp:extent cx="1292225" cy="456719"/>
          <wp:effectExtent l="0" t="0" r="3175" b="63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ckenzie Research Institute Logo - CYMK.png"/>
                  <pic:cNvPicPr/>
                </pic:nvPicPr>
                <pic:blipFill>
                  <a:blip r:embed="rId1" cstate="hqprint">
                    <a:extLst>
                      <a:ext uri="{28A0092B-C50C-407E-A947-70E740481C1C}">
                        <a14:useLocalDpi xmlns:a14="http://schemas.microsoft.com/office/drawing/2010/main" val="0"/>
                      </a:ext>
                    </a:extLst>
                  </a:blip>
                  <a:stretch>
                    <a:fillRect/>
                  </a:stretch>
                </pic:blipFill>
                <pic:spPr>
                  <a:xfrm>
                    <a:off x="0" y="0"/>
                    <a:ext cx="1377936" cy="487012"/>
                  </a:xfrm>
                  <a:prstGeom prst="rect">
                    <a:avLst/>
                  </a:prstGeom>
                </pic:spPr>
              </pic:pic>
            </a:graphicData>
          </a:graphic>
        </wp:inline>
      </w:drawing>
    </w:r>
  </w:p>
  <w:p w14:paraId="7F941755" w14:textId="77777777" w:rsidR="00C74387" w:rsidRDefault="00C74387" w:rsidP="001A0894">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7E80AC" w14:textId="77777777" w:rsidR="005646C5" w:rsidRDefault="005646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270579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B711078"/>
    <w:multiLevelType w:val="hybridMultilevel"/>
    <w:tmpl w:val="D982C85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141468AF"/>
    <w:multiLevelType w:val="hybridMultilevel"/>
    <w:tmpl w:val="564627D0"/>
    <w:lvl w:ilvl="0" w:tplc="0C090001">
      <w:start w:val="1"/>
      <w:numFmt w:val="bullet"/>
      <w:lvlText w:val=""/>
      <w:lvlJc w:val="left"/>
      <w:pPr>
        <w:ind w:left="9149"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6156B0A"/>
    <w:multiLevelType w:val="hybridMultilevel"/>
    <w:tmpl w:val="D1A0811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19D5438B"/>
    <w:multiLevelType w:val="hybridMultilevel"/>
    <w:tmpl w:val="2388A0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C44086F"/>
    <w:multiLevelType w:val="hybridMultilevel"/>
    <w:tmpl w:val="C0BEC1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2973B8F"/>
    <w:multiLevelType w:val="hybridMultilevel"/>
    <w:tmpl w:val="564627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7349" w:hanging="360"/>
      </w:pPr>
      <w:rPr>
        <w:rFonts w:ascii="Courier New" w:hAnsi="Courier New" w:cs="Courier New" w:hint="default"/>
      </w:rPr>
    </w:lvl>
    <w:lvl w:ilvl="2" w:tplc="0C090005" w:tentative="1">
      <w:start w:val="1"/>
      <w:numFmt w:val="bullet"/>
      <w:lvlText w:val=""/>
      <w:lvlJc w:val="left"/>
      <w:pPr>
        <w:ind w:left="-6629" w:hanging="360"/>
      </w:pPr>
      <w:rPr>
        <w:rFonts w:ascii="Wingdings" w:hAnsi="Wingdings" w:hint="default"/>
      </w:rPr>
    </w:lvl>
    <w:lvl w:ilvl="3" w:tplc="0C090001" w:tentative="1">
      <w:start w:val="1"/>
      <w:numFmt w:val="bullet"/>
      <w:lvlText w:val=""/>
      <w:lvlJc w:val="left"/>
      <w:pPr>
        <w:ind w:left="-5909" w:hanging="360"/>
      </w:pPr>
      <w:rPr>
        <w:rFonts w:ascii="Symbol" w:hAnsi="Symbol" w:hint="default"/>
      </w:rPr>
    </w:lvl>
    <w:lvl w:ilvl="4" w:tplc="0C090003" w:tentative="1">
      <w:start w:val="1"/>
      <w:numFmt w:val="bullet"/>
      <w:lvlText w:val="o"/>
      <w:lvlJc w:val="left"/>
      <w:pPr>
        <w:ind w:left="-5189" w:hanging="360"/>
      </w:pPr>
      <w:rPr>
        <w:rFonts w:ascii="Courier New" w:hAnsi="Courier New" w:cs="Courier New" w:hint="default"/>
      </w:rPr>
    </w:lvl>
    <w:lvl w:ilvl="5" w:tplc="0C090005" w:tentative="1">
      <w:start w:val="1"/>
      <w:numFmt w:val="bullet"/>
      <w:lvlText w:val=""/>
      <w:lvlJc w:val="left"/>
      <w:pPr>
        <w:ind w:left="-4469" w:hanging="360"/>
      </w:pPr>
      <w:rPr>
        <w:rFonts w:ascii="Wingdings" w:hAnsi="Wingdings" w:hint="default"/>
      </w:rPr>
    </w:lvl>
    <w:lvl w:ilvl="6" w:tplc="0C090001" w:tentative="1">
      <w:start w:val="1"/>
      <w:numFmt w:val="bullet"/>
      <w:lvlText w:val=""/>
      <w:lvlJc w:val="left"/>
      <w:pPr>
        <w:ind w:left="-3749" w:hanging="360"/>
      </w:pPr>
      <w:rPr>
        <w:rFonts w:ascii="Symbol" w:hAnsi="Symbol" w:hint="default"/>
      </w:rPr>
    </w:lvl>
    <w:lvl w:ilvl="7" w:tplc="0C090003" w:tentative="1">
      <w:start w:val="1"/>
      <w:numFmt w:val="bullet"/>
      <w:lvlText w:val="o"/>
      <w:lvlJc w:val="left"/>
      <w:pPr>
        <w:ind w:left="-3029" w:hanging="360"/>
      </w:pPr>
      <w:rPr>
        <w:rFonts w:ascii="Courier New" w:hAnsi="Courier New" w:cs="Courier New" w:hint="default"/>
      </w:rPr>
    </w:lvl>
    <w:lvl w:ilvl="8" w:tplc="0C090005" w:tentative="1">
      <w:start w:val="1"/>
      <w:numFmt w:val="bullet"/>
      <w:lvlText w:val=""/>
      <w:lvlJc w:val="left"/>
      <w:pPr>
        <w:ind w:left="-2309" w:hanging="360"/>
      </w:pPr>
      <w:rPr>
        <w:rFonts w:ascii="Wingdings" w:hAnsi="Wingdings" w:hint="default"/>
      </w:rPr>
    </w:lvl>
  </w:abstractNum>
  <w:abstractNum w:abstractNumId="7" w15:restartNumberingAfterBreak="0">
    <w:nsid w:val="237D1829"/>
    <w:multiLevelType w:val="hybridMultilevel"/>
    <w:tmpl w:val="448E67EE"/>
    <w:lvl w:ilvl="0" w:tplc="B184B006">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35CB6CD5"/>
    <w:multiLevelType w:val="hybridMultilevel"/>
    <w:tmpl w:val="F042997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43DD3818"/>
    <w:multiLevelType w:val="hybridMultilevel"/>
    <w:tmpl w:val="42FE9338"/>
    <w:lvl w:ilvl="0" w:tplc="415488E6">
      <w:start w:val="1"/>
      <w:numFmt w:val="bullet"/>
      <w:lvlText w:val=""/>
      <w:lvlJc w:val="left"/>
      <w:pPr>
        <w:ind w:left="72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440F405B"/>
    <w:multiLevelType w:val="hybridMultilevel"/>
    <w:tmpl w:val="61C654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CC96FC0"/>
    <w:multiLevelType w:val="hybridMultilevel"/>
    <w:tmpl w:val="58E24DB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65FF34F8"/>
    <w:multiLevelType w:val="hybridMultilevel"/>
    <w:tmpl w:val="AAA0514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66B865F5"/>
    <w:multiLevelType w:val="hybridMultilevel"/>
    <w:tmpl w:val="B6E2928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7FF6199"/>
    <w:multiLevelType w:val="hybridMultilevel"/>
    <w:tmpl w:val="6F70BE08"/>
    <w:lvl w:ilvl="0" w:tplc="B184B006">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6B3818E1"/>
    <w:multiLevelType w:val="hybridMultilevel"/>
    <w:tmpl w:val="3F9E2060"/>
    <w:lvl w:ilvl="0" w:tplc="C63203A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27E1E45"/>
    <w:multiLevelType w:val="hybridMultilevel"/>
    <w:tmpl w:val="D13C6F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C7F71AF"/>
    <w:multiLevelType w:val="hybridMultilevel"/>
    <w:tmpl w:val="D2FC91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6"/>
  </w:num>
  <w:num w:numId="2">
    <w:abstractNumId w:val="2"/>
  </w:num>
  <w:num w:numId="3">
    <w:abstractNumId w:val="5"/>
  </w:num>
  <w:num w:numId="4">
    <w:abstractNumId w:val="6"/>
  </w:num>
  <w:num w:numId="5">
    <w:abstractNumId w:val="15"/>
  </w:num>
  <w:num w:numId="6">
    <w:abstractNumId w:val="8"/>
  </w:num>
  <w:num w:numId="7">
    <w:abstractNumId w:val="3"/>
  </w:num>
  <w:num w:numId="8">
    <w:abstractNumId w:val="1"/>
  </w:num>
  <w:num w:numId="9">
    <w:abstractNumId w:val="10"/>
  </w:num>
  <w:num w:numId="10">
    <w:abstractNumId w:val="7"/>
  </w:num>
  <w:num w:numId="11">
    <w:abstractNumId w:val="14"/>
  </w:num>
  <w:num w:numId="12">
    <w:abstractNumId w:val="4"/>
  </w:num>
  <w:num w:numId="13">
    <w:abstractNumId w:val="17"/>
  </w:num>
  <w:num w:numId="14">
    <w:abstractNumId w:val="12"/>
  </w:num>
  <w:num w:numId="15">
    <w:abstractNumId w:val="11"/>
  </w:num>
  <w:num w:numId="16">
    <w:abstractNumId w:val="13"/>
  </w:num>
  <w:num w:numId="17">
    <w:abstractNumId w:val="0"/>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76CB2D80-B0A9-4CDB-84F2-62079A370A7C}"/>
    <w:docVar w:name="dgnword-eventsink" w:val="439104120"/>
  </w:docVars>
  <w:rsids>
    <w:rsidRoot w:val="00403F1A"/>
    <w:rsid w:val="00006EEA"/>
    <w:rsid w:val="00024E3F"/>
    <w:rsid w:val="00037FB2"/>
    <w:rsid w:val="00044FCD"/>
    <w:rsid w:val="000515AB"/>
    <w:rsid w:val="000830DD"/>
    <w:rsid w:val="00085D98"/>
    <w:rsid w:val="00087B49"/>
    <w:rsid w:val="00093FAD"/>
    <w:rsid w:val="000A3DDA"/>
    <w:rsid w:val="000A7A91"/>
    <w:rsid w:val="000B0E39"/>
    <w:rsid w:val="000C7E09"/>
    <w:rsid w:val="000D67E4"/>
    <w:rsid w:val="000D75B0"/>
    <w:rsid w:val="000F0E1E"/>
    <w:rsid w:val="000F764F"/>
    <w:rsid w:val="00103440"/>
    <w:rsid w:val="00136E37"/>
    <w:rsid w:val="001456C8"/>
    <w:rsid w:val="001472FA"/>
    <w:rsid w:val="001540C5"/>
    <w:rsid w:val="00170176"/>
    <w:rsid w:val="0018025C"/>
    <w:rsid w:val="0018479A"/>
    <w:rsid w:val="00193247"/>
    <w:rsid w:val="00196957"/>
    <w:rsid w:val="001A0894"/>
    <w:rsid w:val="001A380A"/>
    <w:rsid w:val="001C5FAF"/>
    <w:rsid w:val="001C761F"/>
    <w:rsid w:val="001D110F"/>
    <w:rsid w:val="001D6465"/>
    <w:rsid w:val="001E4F5C"/>
    <w:rsid w:val="0021333A"/>
    <w:rsid w:val="00216BF4"/>
    <w:rsid w:val="00250712"/>
    <w:rsid w:val="00260D79"/>
    <w:rsid w:val="002703E3"/>
    <w:rsid w:val="002741E0"/>
    <w:rsid w:val="00281954"/>
    <w:rsid w:val="002853CE"/>
    <w:rsid w:val="0028752C"/>
    <w:rsid w:val="00294179"/>
    <w:rsid w:val="002C00EF"/>
    <w:rsid w:val="002D34A8"/>
    <w:rsid w:val="002D5CC2"/>
    <w:rsid w:val="002E2D61"/>
    <w:rsid w:val="002E402C"/>
    <w:rsid w:val="002E4117"/>
    <w:rsid w:val="002E5F23"/>
    <w:rsid w:val="002E7915"/>
    <w:rsid w:val="002F1E59"/>
    <w:rsid w:val="0033068A"/>
    <w:rsid w:val="003306BA"/>
    <w:rsid w:val="00331395"/>
    <w:rsid w:val="0033523D"/>
    <w:rsid w:val="00341AAD"/>
    <w:rsid w:val="00363F6A"/>
    <w:rsid w:val="00373B41"/>
    <w:rsid w:val="00386A02"/>
    <w:rsid w:val="003A28B7"/>
    <w:rsid w:val="003A5DAB"/>
    <w:rsid w:val="003B3F3C"/>
    <w:rsid w:val="003C4555"/>
    <w:rsid w:val="003C707F"/>
    <w:rsid w:val="003F0F77"/>
    <w:rsid w:val="00403F1A"/>
    <w:rsid w:val="00406C9B"/>
    <w:rsid w:val="004107E9"/>
    <w:rsid w:val="00421203"/>
    <w:rsid w:val="004340D3"/>
    <w:rsid w:val="00447420"/>
    <w:rsid w:val="00453220"/>
    <w:rsid w:val="00454D74"/>
    <w:rsid w:val="004818EF"/>
    <w:rsid w:val="004838A8"/>
    <w:rsid w:val="004A2512"/>
    <w:rsid w:val="004A2FD6"/>
    <w:rsid w:val="004C4392"/>
    <w:rsid w:val="004D11AB"/>
    <w:rsid w:val="004D330E"/>
    <w:rsid w:val="004E4EC2"/>
    <w:rsid w:val="004F39D3"/>
    <w:rsid w:val="005201F3"/>
    <w:rsid w:val="00523253"/>
    <w:rsid w:val="005317E3"/>
    <w:rsid w:val="00541AE9"/>
    <w:rsid w:val="005429F4"/>
    <w:rsid w:val="00546BB7"/>
    <w:rsid w:val="0055361E"/>
    <w:rsid w:val="005646C5"/>
    <w:rsid w:val="00570662"/>
    <w:rsid w:val="0057329A"/>
    <w:rsid w:val="0058088E"/>
    <w:rsid w:val="00594D25"/>
    <w:rsid w:val="005A43F6"/>
    <w:rsid w:val="005B12E1"/>
    <w:rsid w:val="005C5295"/>
    <w:rsid w:val="005D69A2"/>
    <w:rsid w:val="005E27B5"/>
    <w:rsid w:val="005E6F63"/>
    <w:rsid w:val="00600DA0"/>
    <w:rsid w:val="00604C0D"/>
    <w:rsid w:val="00612878"/>
    <w:rsid w:val="00613792"/>
    <w:rsid w:val="0061568A"/>
    <w:rsid w:val="00631C25"/>
    <w:rsid w:val="00632B0A"/>
    <w:rsid w:val="00660763"/>
    <w:rsid w:val="00665CDC"/>
    <w:rsid w:val="00674AAA"/>
    <w:rsid w:val="00674D60"/>
    <w:rsid w:val="00675308"/>
    <w:rsid w:val="006957B3"/>
    <w:rsid w:val="006B3A7B"/>
    <w:rsid w:val="006B512F"/>
    <w:rsid w:val="006C68EC"/>
    <w:rsid w:val="006E766C"/>
    <w:rsid w:val="00701779"/>
    <w:rsid w:val="00707B09"/>
    <w:rsid w:val="00710E1E"/>
    <w:rsid w:val="0074463C"/>
    <w:rsid w:val="00753D76"/>
    <w:rsid w:val="00762DFE"/>
    <w:rsid w:val="00772296"/>
    <w:rsid w:val="00780B79"/>
    <w:rsid w:val="00783EB2"/>
    <w:rsid w:val="007912BD"/>
    <w:rsid w:val="007A1463"/>
    <w:rsid w:val="007A73AD"/>
    <w:rsid w:val="007B296E"/>
    <w:rsid w:val="007C21DA"/>
    <w:rsid w:val="007C417A"/>
    <w:rsid w:val="007D07D4"/>
    <w:rsid w:val="007D3D13"/>
    <w:rsid w:val="007E511B"/>
    <w:rsid w:val="007E65E4"/>
    <w:rsid w:val="007E7EEB"/>
    <w:rsid w:val="007F5DB0"/>
    <w:rsid w:val="00800DC2"/>
    <w:rsid w:val="00842B48"/>
    <w:rsid w:val="00843D0B"/>
    <w:rsid w:val="00864B9B"/>
    <w:rsid w:val="00872129"/>
    <w:rsid w:val="00872BC7"/>
    <w:rsid w:val="00876EC9"/>
    <w:rsid w:val="00885185"/>
    <w:rsid w:val="008912C6"/>
    <w:rsid w:val="008B136E"/>
    <w:rsid w:val="008B2102"/>
    <w:rsid w:val="008B6E48"/>
    <w:rsid w:val="008C6857"/>
    <w:rsid w:val="008C7BB7"/>
    <w:rsid w:val="008E3F3B"/>
    <w:rsid w:val="008E450A"/>
    <w:rsid w:val="008E67A4"/>
    <w:rsid w:val="00911584"/>
    <w:rsid w:val="00922137"/>
    <w:rsid w:val="00922C00"/>
    <w:rsid w:val="00925408"/>
    <w:rsid w:val="00981691"/>
    <w:rsid w:val="009A2A36"/>
    <w:rsid w:val="009A46C3"/>
    <w:rsid w:val="009B0F1B"/>
    <w:rsid w:val="009B5668"/>
    <w:rsid w:val="009C2B02"/>
    <w:rsid w:val="009D3D16"/>
    <w:rsid w:val="009D7D90"/>
    <w:rsid w:val="009E4866"/>
    <w:rsid w:val="00A040AC"/>
    <w:rsid w:val="00A04493"/>
    <w:rsid w:val="00A15847"/>
    <w:rsid w:val="00A51663"/>
    <w:rsid w:val="00A53CC7"/>
    <w:rsid w:val="00A70DC7"/>
    <w:rsid w:val="00A81803"/>
    <w:rsid w:val="00A947E2"/>
    <w:rsid w:val="00A95CEC"/>
    <w:rsid w:val="00AA0C42"/>
    <w:rsid w:val="00AC2E6A"/>
    <w:rsid w:val="00AD24BB"/>
    <w:rsid w:val="00AE3F4C"/>
    <w:rsid w:val="00AE4317"/>
    <w:rsid w:val="00B1145C"/>
    <w:rsid w:val="00B33FE1"/>
    <w:rsid w:val="00B5629F"/>
    <w:rsid w:val="00B61CDA"/>
    <w:rsid w:val="00B723F9"/>
    <w:rsid w:val="00B75B6B"/>
    <w:rsid w:val="00B829D3"/>
    <w:rsid w:val="00B86BED"/>
    <w:rsid w:val="00BA12B5"/>
    <w:rsid w:val="00BB2AFE"/>
    <w:rsid w:val="00BB4348"/>
    <w:rsid w:val="00BC5147"/>
    <w:rsid w:val="00BD09CF"/>
    <w:rsid w:val="00BF4396"/>
    <w:rsid w:val="00BF51F8"/>
    <w:rsid w:val="00BF5736"/>
    <w:rsid w:val="00C000E4"/>
    <w:rsid w:val="00C327A4"/>
    <w:rsid w:val="00C36761"/>
    <w:rsid w:val="00C37A4A"/>
    <w:rsid w:val="00C5476B"/>
    <w:rsid w:val="00C66401"/>
    <w:rsid w:val="00C74387"/>
    <w:rsid w:val="00C84729"/>
    <w:rsid w:val="00C85D72"/>
    <w:rsid w:val="00C96978"/>
    <w:rsid w:val="00CB5A8C"/>
    <w:rsid w:val="00CC1AAA"/>
    <w:rsid w:val="00CC3552"/>
    <w:rsid w:val="00CC3ED7"/>
    <w:rsid w:val="00CD19FC"/>
    <w:rsid w:val="00CE554D"/>
    <w:rsid w:val="00CE758B"/>
    <w:rsid w:val="00D025AC"/>
    <w:rsid w:val="00D04E56"/>
    <w:rsid w:val="00D1626B"/>
    <w:rsid w:val="00D246A0"/>
    <w:rsid w:val="00D3751F"/>
    <w:rsid w:val="00D4183F"/>
    <w:rsid w:val="00D567A2"/>
    <w:rsid w:val="00D64908"/>
    <w:rsid w:val="00D701AE"/>
    <w:rsid w:val="00D75D61"/>
    <w:rsid w:val="00D77279"/>
    <w:rsid w:val="00D779DF"/>
    <w:rsid w:val="00D81EF0"/>
    <w:rsid w:val="00D82A32"/>
    <w:rsid w:val="00DA2E08"/>
    <w:rsid w:val="00DA60A2"/>
    <w:rsid w:val="00DB03C8"/>
    <w:rsid w:val="00DC3FC9"/>
    <w:rsid w:val="00DC7650"/>
    <w:rsid w:val="00E06979"/>
    <w:rsid w:val="00E10D85"/>
    <w:rsid w:val="00E213C9"/>
    <w:rsid w:val="00E233EF"/>
    <w:rsid w:val="00E42A94"/>
    <w:rsid w:val="00E54411"/>
    <w:rsid w:val="00E54C94"/>
    <w:rsid w:val="00E65996"/>
    <w:rsid w:val="00E6669A"/>
    <w:rsid w:val="00E71428"/>
    <w:rsid w:val="00E750A2"/>
    <w:rsid w:val="00E76F10"/>
    <w:rsid w:val="00E91536"/>
    <w:rsid w:val="00EA1011"/>
    <w:rsid w:val="00EB64ED"/>
    <w:rsid w:val="00EB7D91"/>
    <w:rsid w:val="00ED1F4E"/>
    <w:rsid w:val="00F00F98"/>
    <w:rsid w:val="00F10442"/>
    <w:rsid w:val="00F127F3"/>
    <w:rsid w:val="00F13E4B"/>
    <w:rsid w:val="00F20373"/>
    <w:rsid w:val="00F26179"/>
    <w:rsid w:val="00F2668B"/>
    <w:rsid w:val="00F40481"/>
    <w:rsid w:val="00F42BE9"/>
    <w:rsid w:val="00F4514C"/>
    <w:rsid w:val="00F466B1"/>
    <w:rsid w:val="00F568D8"/>
    <w:rsid w:val="00F622D4"/>
    <w:rsid w:val="00F841A0"/>
    <w:rsid w:val="00FA2775"/>
    <w:rsid w:val="00FD0578"/>
    <w:rsid w:val="00FE0FCB"/>
    <w:rsid w:val="00FE1F20"/>
    <w:rsid w:val="00FF1DF0"/>
    <w:rsid w:val="00FF4242"/>
    <w:rsid w:val="00FF49BA"/>
    <w:rsid w:val="00FF7A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CC7B8E0"/>
  <w15:docId w15:val="{AD2E16A8-7163-4FB7-B37B-A09A5513B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87B4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3B3F3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3F1A"/>
    <w:pPr>
      <w:ind w:left="720"/>
      <w:contextualSpacing/>
    </w:pPr>
  </w:style>
  <w:style w:type="paragraph" w:styleId="BalloonText">
    <w:name w:val="Balloon Text"/>
    <w:basedOn w:val="Normal"/>
    <w:link w:val="BalloonTextChar"/>
    <w:uiPriority w:val="99"/>
    <w:semiHidden/>
    <w:unhideWhenUsed/>
    <w:rsid w:val="00ED1F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1F4E"/>
    <w:rPr>
      <w:rFonts w:ascii="Tahoma" w:hAnsi="Tahoma" w:cs="Tahoma"/>
      <w:sz w:val="16"/>
      <w:szCs w:val="16"/>
    </w:rPr>
  </w:style>
  <w:style w:type="paragraph" w:styleId="Header">
    <w:name w:val="header"/>
    <w:basedOn w:val="Normal"/>
    <w:link w:val="HeaderChar"/>
    <w:uiPriority w:val="99"/>
    <w:unhideWhenUsed/>
    <w:rsid w:val="001A08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0894"/>
  </w:style>
  <w:style w:type="paragraph" w:styleId="Footer">
    <w:name w:val="footer"/>
    <w:basedOn w:val="Normal"/>
    <w:link w:val="FooterChar"/>
    <w:uiPriority w:val="99"/>
    <w:unhideWhenUsed/>
    <w:rsid w:val="001A08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0894"/>
  </w:style>
  <w:style w:type="character" w:styleId="Hyperlink">
    <w:name w:val="Hyperlink"/>
    <w:basedOn w:val="DefaultParagraphFont"/>
    <w:uiPriority w:val="99"/>
    <w:unhideWhenUsed/>
    <w:rsid w:val="003C707F"/>
    <w:rPr>
      <w:color w:val="0000FF" w:themeColor="hyperlink"/>
      <w:u w:val="single"/>
    </w:rPr>
  </w:style>
  <w:style w:type="paragraph" w:customStyle="1" w:styleId="trt0xe">
    <w:name w:val="trt0xe"/>
    <w:basedOn w:val="Normal"/>
    <w:rsid w:val="001D6465"/>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D162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1626B"/>
    <w:rPr>
      <w:b/>
      <w:bCs/>
    </w:rPr>
  </w:style>
  <w:style w:type="paragraph" w:styleId="FootnoteText">
    <w:name w:val="footnote text"/>
    <w:basedOn w:val="Normal"/>
    <w:link w:val="FootnoteTextChar"/>
    <w:uiPriority w:val="99"/>
    <w:unhideWhenUsed/>
    <w:rsid w:val="00CE758B"/>
    <w:pPr>
      <w:spacing w:after="0" w:line="240" w:lineRule="auto"/>
    </w:pPr>
    <w:rPr>
      <w:rFonts w:ascii="Calibri" w:eastAsia="Calibri" w:hAnsi="Calibri" w:cs="Calibri"/>
      <w:sz w:val="20"/>
      <w:szCs w:val="20"/>
    </w:rPr>
  </w:style>
  <w:style w:type="character" w:customStyle="1" w:styleId="FootnoteTextChar">
    <w:name w:val="Footnote Text Char"/>
    <w:basedOn w:val="DefaultParagraphFont"/>
    <w:link w:val="FootnoteText"/>
    <w:uiPriority w:val="99"/>
    <w:rsid w:val="00CE758B"/>
    <w:rPr>
      <w:rFonts w:ascii="Calibri" w:eastAsia="Calibri" w:hAnsi="Calibri" w:cs="Calibri"/>
      <w:sz w:val="20"/>
      <w:szCs w:val="20"/>
    </w:rPr>
  </w:style>
  <w:style w:type="character" w:customStyle="1" w:styleId="Heading1Char">
    <w:name w:val="Heading 1 Char"/>
    <w:basedOn w:val="DefaultParagraphFont"/>
    <w:link w:val="Heading1"/>
    <w:uiPriority w:val="9"/>
    <w:rsid w:val="00087B49"/>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087B49"/>
    <w:pPr>
      <w:spacing w:before="480"/>
      <w:outlineLvl w:val="9"/>
    </w:pPr>
    <w:rPr>
      <w:b/>
      <w:bCs/>
      <w:sz w:val="28"/>
      <w:szCs w:val="28"/>
      <w:lang w:val="en-US" w:eastAsia="ja-JP"/>
    </w:rPr>
  </w:style>
  <w:style w:type="character" w:customStyle="1" w:styleId="Heading2Char">
    <w:name w:val="Heading 2 Char"/>
    <w:basedOn w:val="DefaultParagraphFont"/>
    <w:link w:val="Heading2"/>
    <w:uiPriority w:val="9"/>
    <w:rsid w:val="003B3F3C"/>
    <w:rPr>
      <w:rFonts w:asciiTheme="majorHAnsi" w:eastAsiaTheme="majorEastAsia" w:hAnsiTheme="majorHAnsi" w:cstheme="majorBidi"/>
      <w:color w:val="365F91" w:themeColor="accent1" w:themeShade="BF"/>
      <w:sz w:val="26"/>
      <w:szCs w:val="26"/>
    </w:rPr>
  </w:style>
  <w:style w:type="paragraph" w:styleId="TOC1">
    <w:name w:val="toc 1"/>
    <w:basedOn w:val="Normal"/>
    <w:next w:val="Normal"/>
    <w:autoRedefine/>
    <w:uiPriority w:val="39"/>
    <w:unhideWhenUsed/>
    <w:rsid w:val="005646C5"/>
    <w:pPr>
      <w:tabs>
        <w:tab w:val="right" w:leader="dot" w:pos="9016"/>
      </w:tabs>
      <w:spacing w:after="100" w:line="480" w:lineRule="auto"/>
    </w:pPr>
  </w:style>
  <w:style w:type="paragraph" w:styleId="TOC2">
    <w:name w:val="toc 2"/>
    <w:basedOn w:val="Normal"/>
    <w:next w:val="Normal"/>
    <w:autoRedefine/>
    <w:uiPriority w:val="39"/>
    <w:unhideWhenUsed/>
    <w:rsid w:val="00594D25"/>
    <w:pPr>
      <w:spacing w:after="100"/>
      <w:ind w:left="220"/>
    </w:pPr>
  </w:style>
  <w:style w:type="character" w:styleId="CommentReference">
    <w:name w:val="annotation reference"/>
    <w:basedOn w:val="DefaultParagraphFont"/>
    <w:uiPriority w:val="99"/>
    <w:semiHidden/>
    <w:unhideWhenUsed/>
    <w:rsid w:val="006E766C"/>
    <w:rPr>
      <w:sz w:val="16"/>
      <w:szCs w:val="16"/>
    </w:rPr>
  </w:style>
  <w:style w:type="paragraph" w:styleId="CommentText">
    <w:name w:val="annotation text"/>
    <w:basedOn w:val="Normal"/>
    <w:link w:val="CommentTextChar"/>
    <w:uiPriority w:val="99"/>
    <w:semiHidden/>
    <w:unhideWhenUsed/>
    <w:rsid w:val="006E766C"/>
    <w:pPr>
      <w:spacing w:line="240" w:lineRule="auto"/>
    </w:pPr>
    <w:rPr>
      <w:sz w:val="20"/>
      <w:szCs w:val="20"/>
    </w:rPr>
  </w:style>
  <w:style w:type="character" w:customStyle="1" w:styleId="CommentTextChar">
    <w:name w:val="Comment Text Char"/>
    <w:basedOn w:val="DefaultParagraphFont"/>
    <w:link w:val="CommentText"/>
    <w:uiPriority w:val="99"/>
    <w:semiHidden/>
    <w:rsid w:val="006E766C"/>
    <w:rPr>
      <w:sz w:val="20"/>
      <w:szCs w:val="20"/>
    </w:rPr>
  </w:style>
  <w:style w:type="paragraph" w:styleId="CommentSubject">
    <w:name w:val="annotation subject"/>
    <w:basedOn w:val="CommentText"/>
    <w:next w:val="CommentText"/>
    <w:link w:val="CommentSubjectChar"/>
    <w:uiPriority w:val="99"/>
    <w:semiHidden/>
    <w:unhideWhenUsed/>
    <w:rsid w:val="006E766C"/>
    <w:rPr>
      <w:b/>
      <w:bCs/>
    </w:rPr>
  </w:style>
  <w:style w:type="character" w:customStyle="1" w:styleId="CommentSubjectChar">
    <w:name w:val="Comment Subject Char"/>
    <w:basedOn w:val="CommentTextChar"/>
    <w:link w:val="CommentSubject"/>
    <w:uiPriority w:val="99"/>
    <w:semiHidden/>
    <w:rsid w:val="006E766C"/>
    <w:rPr>
      <w:b/>
      <w:bCs/>
      <w:sz w:val="20"/>
      <w:szCs w:val="20"/>
    </w:rPr>
  </w:style>
  <w:style w:type="paragraph" w:styleId="ListBullet">
    <w:name w:val="List Bullet"/>
    <w:basedOn w:val="Normal"/>
    <w:uiPriority w:val="99"/>
    <w:unhideWhenUsed/>
    <w:rsid w:val="001472FA"/>
    <w:pPr>
      <w:numPr>
        <w:numId w:val="17"/>
      </w:numPr>
      <w:contextualSpacing/>
    </w:pPr>
  </w:style>
  <w:style w:type="paragraph" w:styleId="NormalWeb">
    <w:name w:val="Normal (Web)"/>
    <w:basedOn w:val="Normal"/>
    <w:uiPriority w:val="99"/>
    <w:semiHidden/>
    <w:unhideWhenUsed/>
    <w:rsid w:val="00F42BE9"/>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9094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image" Target="media/image4.png"/><Relationship Id="rId26" Type="http://schemas.openxmlformats.org/officeDocument/2006/relationships/image" Target="media/image12.PNG"/><Relationship Id="rId39" Type="http://schemas.microsoft.com/office/2018/08/relationships/commentsExtensible" Target="commentsExtensible.xml"/><Relationship Id="rId3" Type="http://schemas.openxmlformats.org/officeDocument/2006/relationships/styles" Target="styles.xml"/><Relationship Id="rId21" Type="http://schemas.openxmlformats.org/officeDocument/2006/relationships/image" Target="media/image7.png"/><Relationship Id="rId34" Type="http://schemas.openxmlformats.org/officeDocument/2006/relationships/hyperlink" Target="http://www.oecd.org/australia/Employment-Outlook-Australia-EN.pdf"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3.png"/><Relationship Id="rId25" Type="http://schemas.openxmlformats.org/officeDocument/2006/relationships/image" Target="media/image11.png"/><Relationship Id="rId33" Type="http://schemas.openxmlformats.org/officeDocument/2006/relationships/hyperlink" Target="https://www.oecd-ilibrary.org/docserver/9ee00155-en.pdf?expires=1589763723&amp;id=id&amp;accname=guest&amp;checksum=A22D4B4D0F5DEB837DD850EEEFE3C8CA"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6.png"/><Relationship Id="rId29" Type="http://schemas.openxmlformats.org/officeDocument/2006/relationships/hyperlink" Target="https://www.rba.gov.au/publications/bulleting/2018/jun/labour-market-outcomes-for-younger-people.html.%2018/05/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10.png"/><Relationship Id="rId32" Type="http://schemas.openxmlformats.org/officeDocument/2006/relationships/hyperlink" Target="https://www.oecd.org/education/education-at-a-glance/EAG2019_CN_AUS.pdf" TargetMode="External"/><Relationship Id="rId37" Type="http://schemas.openxmlformats.org/officeDocument/2006/relationships/fontTable" Target="fontTable.xml"/><Relationship Id="rId40"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image" Target="media/image9.png"/><Relationship Id="rId28" Type="http://schemas.openxmlformats.org/officeDocument/2006/relationships/hyperlink" Target="https://vital.voced.edu.au/vital/access/services/Download/ngv:32134/SOURCE2" TargetMode="External"/><Relationship Id="rId36" Type="http://schemas.openxmlformats.org/officeDocument/2006/relationships/footer" Target="footer4.xml"/><Relationship Id="rId10" Type="http://schemas.openxmlformats.org/officeDocument/2006/relationships/hyperlink" Target="mailto:bruce.mackenzie45@gmail.com" TargetMode="External"/><Relationship Id="rId19" Type="http://schemas.openxmlformats.org/officeDocument/2006/relationships/image" Target="media/image5.png"/><Relationship Id="rId31" Type="http://schemas.openxmlformats.org/officeDocument/2006/relationships/hyperlink" Target="https://doi.org/10.1787/g2g9fac5-en" TargetMode="External"/><Relationship Id="rId4" Type="http://schemas.openxmlformats.org/officeDocument/2006/relationships/settings" Target="settings.xml"/><Relationship Id="rId9" Type="http://schemas.openxmlformats.org/officeDocument/2006/relationships/hyperlink" Target="mailto:info@mri.edu.au" TargetMode="External"/><Relationship Id="rId14" Type="http://schemas.openxmlformats.org/officeDocument/2006/relationships/footer" Target="footer2.xml"/><Relationship Id="rId22" Type="http://schemas.openxmlformats.org/officeDocument/2006/relationships/image" Target="media/image8.png"/><Relationship Id="rId27" Type="http://schemas.openxmlformats.org/officeDocument/2006/relationships/image" Target="media/image13.png"/><Relationship Id="rId30" Type="http://schemas.openxmlformats.org/officeDocument/2006/relationships/hyperlink" Target="http://dx.doi.org/10.1080/13636820.2016.1275030" TargetMode="External"/><Relationship Id="rId35" Type="http://schemas.openxmlformats.org/officeDocument/2006/relationships/hyperlink" Target="https://melbourne-cshe.unimelb.edu.au/__data/assets/pdf_file/0007/2845780/Revisioning-the-system-310718-Final-004.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6957FC-8187-41B9-9180-7E608BF80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28</Pages>
  <Words>8031</Words>
  <Characters>45780</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Bruce</dc:creator>
  <cp:lastModifiedBy>BARBARA Hicks</cp:lastModifiedBy>
  <cp:revision>4</cp:revision>
  <cp:lastPrinted>2020-05-20T03:59:00Z</cp:lastPrinted>
  <dcterms:created xsi:type="dcterms:W3CDTF">2020-06-04T03:57:00Z</dcterms:created>
  <dcterms:modified xsi:type="dcterms:W3CDTF">2020-06-15T05:57:00Z</dcterms:modified>
</cp:coreProperties>
</file>